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4070" w14:textId="0EBCF155" w:rsidR="0035332F" w:rsidRPr="002E548A" w:rsidRDefault="0035332F" w:rsidP="004B2698">
      <w:pPr>
        <w:autoSpaceDE w:val="0"/>
        <w:autoSpaceDN w:val="0"/>
        <w:adjustRightInd w:val="0"/>
        <w:jc w:val="center"/>
        <w:rPr>
          <w:rFonts w:ascii="Cambria" w:hAnsi="Cambria" w:cs="Cambria"/>
          <w:b/>
          <w:bCs/>
          <w:color w:val="0070C0"/>
          <w:sz w:val="28"/>
          <w:szCs w:val="28"/>
          <w:lang w:val="en-US"/>
        </w:rPr>
      </w:pPr>
      <w:r w:rsidRPr="002E548A">
        <w:rPr>
          <w:rFonts w:ascii="Cambria" w:hAnsi="Cambria" w:cs="Cambria"/>
          <w:b/>
          <w:bCs/>
          <w:color w:val="0070C0"/>
          <w:sz w:val="28"/>
          <w:szCs w:val="28"/>
          <w:lang w:val="en-US"/>
        </w:rPr>
        <w:t>HRB-TMRN Study within a Trial (SWAT) FUNDING 201</w:t>
      </w:r>
      <w:r w:rsidR="004B2698" w:rsidRPr="002E548A">
        <w:rPr>
          <w:rFonts w:ascii="Cambria" w:hAnsi="Cambria" w:cs="Cambria"/>
          <w:b/>
          <w:bCs/>
          <w:color w:val="0070C0"/>
          <w:sz w:val="28"/>
          <w:szCs w:val="28"/>
          <w:lang w:val="en-US"/>
        </w:rPr>
        <w:t>9</w:t>
      </w:r>
    </w:p>
    <w:p w14:paraId="567CD9D0" w14:textId="77777777" w:rsidR="004B2698" w:rsidRPr="002E548A" w:rsidRDefault="004B2698" w:rsidP="004B2698">
      <w:pPr>
        <w:autoSpaceDE w:val="0"/>
        <w:autoSpaceDN w:val="0"/>
        <w:adjustRightInd w:val="0"/>
        <w:jc w:val="center"/>
        <w:rPr>
          <w:rFonts w:ascii="Cambria" w:hAnsi="Cambria" w:cs="Cambria"/>
          <w:color w:val="0070C0"/>
          <w:sz w:val="28"/>
          <w:szCs w:val="28"/>
          <w:lang w:val="en-US"/>
        </w:rPr>
      </w:pPr>
    </w:p>
    <w:p w14:paraId="790BFA33" w14:textId="01830B85" w:rsidR="0035332F" w:rsidRPr="002E548A" w:rsidRDefault="0035332F" w:rsidP="004B2698">
      <w:pPr>
        <w:autoSpaceDE w:val="0"/>
        <w:autoSpaceDN w:val="0"/>
        <w:adjustRightInd w:val="0"/>
        <w:jc w:val="center"/>
        <w:rPr>
          <w:rFonts w:ascii="Cambria" w:hAnsi="Cambria" w:cs="Cambria"/>
          <w:b/>
          <w:bCs/>
          <w:color w:val="0070C0"/>
          <w:sz w:val="28"/>
          <w:szCs w:val="28"/>
          <w:lang w:val="en-US"/>
        </w:rPr>
      </w:pPr>
      <w:r w:rsidRPr="002E548A">
        <w:rPr>
          <w:rFonts w:ascii="Cambria" w:hAnsi="Cambria" w:cs="Cambria"/>
          <w:b/>
          <w:bCs/>
          <w:color w:val="0070C0"/>
          <w:sz w:val="28"/>
          <w:szCs w:val="28"/>
          <w:lang w:val="en-US"/>
        </w:rPr>
        <w:t>Guidance Notes</w:t>
      </w:r>
    </w:p>
    <w:p w14:paraId="421F5B5B" w14:textId="77777777" w:rsidR="004B2698" w:rsidRPr="002E548A" w:rsidRDefault="004B2698" w:rsidP="004B2698">
      <w:pPr>
        <w:autoSpaceDE w:val="0"/>
        <w:autoSpaceDN w:val="0"/>
        <w:adjustRightInd w:val="0"/>
        <w:jc w:val="center"/>
        <w:rPr>
          <w:rFonts w:ascii="Cambria" w:hAnsi="Cambria" w:cs="Cambria"/>
          <w:color w:val="0070C0"/>
          <w:sz w:val="28"/>
          <w:szCs w:val="28"/>
          <w:lang w:val="en-US"/>
        </w:rPr>
      </w:pPr>
    </w:p>
    <w:p w14:paraId="5B8A7DD9" w14:textId="6E51E215" w:rsidR="0035332F" w:rsidRPr="002E548A" w:rsidRDefault="0035332F" w:rsidP="004B2698">
      <w:pPr>
        <w:autoSpaceDE w:val="0"/>
        <w:autoSpaceDN w:val="0"/>
        <w:adjustRightInd w:val="0"/>
        <w:jc w:val="center"/>
        <w:rPr>
          <w:rFonts w:ascii="Cambria" w:hAnsi="Cambria" w:cs="Cambria"/>
          <w:b/>
          <w:bCs/>
          <w:color w:val="0070C0"/>
          <w:sz w:val="28"/>
          <w:szCs w:val="28"/>
          <w:lang w:val="en-US"/>
        </w:rPr>
      </w:pPr>
      <w:r w:rsidRPr="002E548A">
        <w:rPr>
          <w:rFonts w:ascii="Cambria" w:hAnsi="Cambria" w:cs="Cambria"/>
          <w:b/>
          <w:bCs/>
          <w:color w:val="0070C0"/>
          <w:sz w:val="28"/>
          <w:szCs w:val="28"/>
          <w:lang w:val="en-US"/>
        </w:rPr>
        <w:t xml:space="preserve">Opening Date: </w:t>
      </w:r>
      <w:r w:rsidR="00007277" w:rsidRPr="00007277">
        <w:rPr>
          <w:rFonts w:ascii="Cambria" w:hAnsi="Cambria" w:cs="Cambria"/>
          <w:b/>
          <w:bCs/>
          <w:color w:val="4472C4" w:themeColor="accent1"/>
          <w:sz w:val="28"/>
          <w:szCs w:val="28"/>
          <w:lang w:val="en-US"/>
        </w:rPr>
        <w:t>2</w:t>
      </w:r>
      <w:r w:rsidR="00007277" w:rsidRPr="00007277">
        <w:rPr>
          <w:rFonts w:ascii="Cambria" w:hAnsi="Cambria" w:cs="Cambria"/>
          <w:b/>
          <w:bCs/>
          <w:color w:val="4472C4" w:themeColor="accent1"/>
          <w:sz w:val="28"/>
          <w:szCs w:val="28"/>
          <w:vertAlign w:val="superscript"/>
          <w:lang w:val="en-US"/>
        </w:rPr>
        <w:t>nd</w:t>
      </w:r>
      <w:r w:rsidR="00007277" w:rsidRPr="00007277">
        <w:rPr>
          <w:rFonts w:ascii="Cambria" w:hAnsi="Cambria" w:cs="Cambria"/>
          <w:b/>
          <w:bCs/>
          <w:color w:val="4472C4" w:themeColor="accent1"/>
          <w:sz w:val="28"/>
          <w:szCs w:val="28"/>
          <w:lang w:val="en-US"/>
        </w:rPr>
        <w:t xml:space="preserve"> December</w:t>
      </w:r>
      <w:r w:rsidRPr="00007277">
        <w:rPr>
          <w:rFonts w:ascii="Cambria" w:hAnsi="Cambria" w:cs="Cambria"/>
          <w:b/>
          <w:bCs/>
          <w:color w:val="4472C4" w:themeColor="accent1"/>
          <w:sz w:val="28"/>
          <w:szCs w:val="28"/>
          <w:lang w:val="en-US"/>
        </w:rPr>
        <w:t xml:space="preserve"> </w:t>
      </w:r>
      <w:r w:rsidRPr="002E548A">
        <w:rPr>
          <w:rFonts w:ascii="Cambria" w:hAnsi="Cambria" w:cs="Cambria"/>
          <w:b/>
          <w:bCs/>
          <w:color w:val="0070C0"/>
          <w:sz w:val="28"/>
          <w:szCs w:val="28"/>
          <w:lang w:val="en-US"/>
        </w:rPr>
        <w:t>2018</w:t>
      </w:r>
    </w:p>
    <w:p w14:paraId="0A967BEA" w14:textId="77777777" w:rsidR="004B2698" w:rsidRPr="002E548A" w:rsidRDefault="004B2698" w:rsidP="004B2698">
      <w:pPr>
        <w:autoSpaceDE w:val="0"/>
        <w:autoSpaceDN w:val="0"/>
        <w:adjustRightInd w:val="0"/>
        <w:jc w:val="center"/>
        <w:rPr>
          <w:rFonts w:ascii="Cambria" w:hAnsi="Cambria" w:cs="Cambria"/>
          <w:color w:val="0070C0"/>
          <w:sz w:val="28"/>
          <w:szCs w:val="28"/>
          <w:lang w:val="en-US"/>
        </w:rPr>
      </w:pPr>
    </w:p>
    <w:p w14:paraId="0BA2259B" w14:textId="48133907" w:rsidR="0035332F" w:rsidRPr="002E548A" w:rsidRDefault="0035332F" w:rsidP="004B2698">
      <w:pPr>
        <w:pStyle w:val="Default"/>
        <w:jc w:val="center"/>
        <w:rPr>
          <w:color w:val="0070C0"/>
        </w:rPr>
      </w:pPr>
      <w:r w:rsidRPr="002E548A">
        <w:rPr>
          <w:rFonts w:ascii="Cambria" w:hAnsi="Cambria" w:cs="Cambria"/>
          <w:b/>
          <w:bCs/>
          <w:color w:val="0070C0"/>
          <w:sz w:val="28"/>
          <w:szCs w:val="28"/>
        </w:rPr>
        <w:t xml:space="preserve">Closing Date: </w:t>
      </w:r>
      <w:r w:rsidR="004B2698" w:rsidRPr="002E548A">
        <w:rPr>
          <w:rFonts w:ascii="Cambria" w:hAnsi="Cambria" w:cs="Cambria"/>
          <w:b/>
          <w:bCs/>
          <w:color w:val="0070C0"/>
          <w:sz w:val="28"/>
          <w:szCs w:val="28"/>
        </w:rPr>
        <w:t>8</w:t>
      </w:r>
      <w:r w:rsidR="003F2AD9" w:rsidRPr="001E7C44">
        <w:rPr>
          <w:rFonts w:ascii="Cambria" w:hAnsi="Cambria" w:cs="Cambria"/>
          <w:b/>
          <w:bCs/>
          <w:color w:val="0070C0"/>
          <w:sz w:val="28"/>
          <w:szCs w:val="28"/>
          <w:vertAlign w:val="superscript"/>
        </w:rPr>
        <w:t>th</w:t>
      </w:r>
      <w:r w:rsidR="003F2AD9">
        <w:rPr>
          <w:rFonts w:ascii="Cambria" w:hAnsi="Cambria" w:cs="Cambria"/>
          <w:b/>
          <w:bCs/>
          <w:color w:val="0070C0"/>
          <w:sz w:val="28"/>
          <w:szCs w:val="28"/>
          <w:vertAlign w:val="subscript"/>
        </w:rPr>
        <w:t xml:space="preserve"> </w:t>
      </w:r>
      <w:r w:rsidRPr="002E548A">
        <w:rPr>
          <w:rFonts w:ascii="Cambria" w:hAnsi="Cambria" w:cs="Cambria"/>
          <w:b/>
          <w:bCs/>
          <w:color w:val="0070C0"/>
          <w:sz w:val="28"/>
          <w:szCs w:val="28"/>
        </w:rPr>
        <w:t>March 201</w:t>
      </w:r>
      <w:r w:rsidR="004B2698" w:rsidRPr="002E548A">
        <w:rPr>
          <w:rFonts w:ascii="Cambria" w:hAnsi="Cambria" w:cs="Cambria"/>
          <w:b/>
          <w:bCs/>
          <w:color w:val="0070C0"/>
          <w:sz w:val="28"/>
          <w:szCs w:val="28"/>
        </w:rPr>
        <w:t>9</w:t>
      </w:r>
      <w:r w:rsidRPr="002E548A">
        <w:rPr>
          <w:rFonts w:ascii="Cambria" w:hAnsi="Cambria" w:cs="Cambria"/>
          <w:b/>
          <w:bCs/>
          <w:color w:val="0070C0"/>
          <w:sz w:val="28"/>
          <w:szCs w:val="28"/>
        </w:rPr>
        <w:t xml:space="preserve"> at 1pm</w:t>
      </w:r>
    </w:p>
    <w:p w14:paraId="41AC782C" w14:textId="77777777" w:rsidR="0035332F" w:rsidRPr="002E548A" w:rsidRDefault="0035332F" w:rsidP="0035332F">
      <w:pPr>
        <w:pStyle w:val="Default"/>
        <w:rPr>
          <w:color w:val="0070C0"/>
        </w:rPr>
      </w:pPr>
    </w:p>
    <w:p w14:paraId="3EEE0D61" w14:textId="1CC05BB1" w:rsidR="0035332F" w:rsidRPr="002E548A" w:rsidRDefault="004B2698" w:rsidP="004B2698">
      <w:pPr>
        <w:pStyle w:val="Default"/>
        <w:spacing w:line="360" w:lineRule="auto"/>
        <w:rPr>
          <w:rFonts w:ascii="Cambria" w:hAnsi="Cambria"/>
          <w:b/>
          <w:color w:val="0070C0"/>
          <w:sz w:val="28"/>
          <w:szCs w:val="28"/>
        </w:rPr>
      </w:pPr>
      <w:r w:rsidRPr="002E548A">
        <w:rPr>
          <w:rFonts w:ascii="Cambria" w:hAnsi="Cambria"/>
          <w:b/>
          <w:color w:val="0070C0"/>
          <w:sz w:val="28"/>
          <w:szCs w:val="28"/>
        </w:rPr>
        <w:t>Background</w:t>
      </w:r>
    </w:p>
    <w:p w14:paraId="5164321B" w14:textId="247F9D2F" w:rsidR="00FC348D" w:rsidRDefault="00FC348D" w:rsidP="00FC348D">
      <w:pPr>
        <w:pStyle w:val="Default"/>
        <w:spacing w:before="100" w:beforeAutospacing="1" w:line="360" w:lineRule="auto"/>
        <w:rPr>
          <w:rFonts w:ascii="Cambria" w:hAnsi="Cambria"/>
          <w:sz w:val="22"/>
          <w:szCs w:val="22"/>
        </w:rPr>
      </w:pPr>
      <w:r w:rsidRPr="004B2698">
        <w:rPr>
          <w:rFonts w:ascii="Cambria" w:hAnsi="Cambria"/>
          <w:sz w:val="22"/>
          <w:szCs w:val="22"/>
        </w:rPr>
        <w:t xml:space="preserve">Since September 2014, the HRB-TMRN has been working to strengthen the methodology and reporting of trials in health and social care on the island of Ireland so that they become more relevant, accessible and influential for patients and other service users, practitioners, policy makers and the public. This is being achieved through a </w:t>
      </w:r>
      <w:proofErr w:type="spellStart"/>
      <w:r w:rsidRPr="004B2698">
        <w:rPr>
          <w:rFonts w:ascii="Cambria" w:hAnsi="Cambria"/>
          <w:sz w:val="22"/>
          <w:szCs w:val="22"/>
        </w:rPr>
        <w:t>programme</w:t>
      </w:r>
      <w:proofErr w:type="spellEnd"/>
      <w:r w:rsidRPr="004B2698">
        <w:rPr>
          <w:rFonts w:ascii="Cambria" w:hAnsi="Cambria"/>
          <w:sz w:val="22"/>
          <w:szCs w:val="22"/>
        </w:rPr>
        <w:t xml:space="preserve"> of work relating to the methodology of trials and focused on (</w:t>
      </w:r>
      <w:proofErr w:type="spellStart"/>
      <w:r w:rsidRPr="004B2698">
        <w:rPr>
          <w:rFonts w:ascii="Cambria" w:hAnsi="Cambria"/>
          <w:sz w:val="22"/>
          <w:szCs w:val="22"/>
        </w:rPr>
        <w:t>i</w:t>
      </w:r>
      <w:proofErr w:type="spellEnd"/>
      <w:r w:rsidRPr="004B2698">
        <w:rPr>
          <w:rFonts w:ascii="Cambria" w:hAnsi="Cambria"/>
          <w:sz w:val="22"/>
          <w:szCs w:val="22"/>
        </w:rPr>
        <w:t xml:space="preserve">) support (ii) training and education and (iii) research and innovation. </w:t>
      </w:r>
    </w:p>
    <w:p w14:paraId="05492000" w14:textId="77777777" w:rsidR="00FC348D" w:rsidRPr="004B2698" w:rsidRDefault="00FC348D" w:rsidP="00FC348D">
      <w:pPr>
        <w:pStyle w:val="Default"/>
        <w:spacing w:before="100" w:beforeAutospacing="1" w:line="360" w:lineRule="auto"/>
        <w:rPr>
          <w:rFonts w:ascii="Cambria" w:hAnsi="Cambria"/>
          <w:sz w:val="22"/>
          <w:szCs w:val="22"/>
        </w:rPr>
      </w:pPr>
    </w:p>
    <w:p w14:paraId="335D1D0E" w14:textId="32A0C6FA" w:rsidR="00FC348D" w:rsidRDefault="0035332F" w:rsidP="004B2698">
      <w:pPr>
        <w:pStyle w:val="Default"/>
        <w:spacing w:line="360" w:lineRule="auto"/>
        <w:rPr>
          <w:rFonts w:ascii="Cambria" w:hAnsi="Cambria"/>
          <w:sz w:val="22"/>
          <w:szCs w:val="22"/>
        </w:rPr>
      </w:pPr>
      <w:r w:rsidRPr="004B2698">
        <w:rPr>
          <w:rFonts w:ascii="Cambria" w:hAnsi="Cambria"/>
          <w:sz w:val="22"/>
          <w:szCs w:val="22"/>
        </w:rPr>
        <w:t xml:space="preserve">Where randomisation is possible, randomised trials are regarded as the most effective means of evaluating the effects of health care interventions. They have the potential to provide reliable and robust estimates of the effects of healthcare interventions to help people make well-informed decisions about care options. However, there is relatively little work being done on </w:t>
      </w:r>
      <w:r w:rsidR="00302079">
        <w:rPr>
          <w:rFonts w:ascii="Cambria" w:hAnsi="Cambria"/>
          <w:sz w:val="22"/>
          <w:szCs w:val="22"/>
        </w:rPr>
        <w:t>improving</w:t>
      </w:r>
      <w:r w:rsidRPr="004B2698">
        <w:rPr>
          <w:rFonts w:ascii="Cambria" w:hAnsi="Cambria"/>
          <w:sz w:val="22"/>
          <w:szCs w:val="22"/>
        </w:rPr>
        <w:t xml:space="preserve"> how randomised trials are designed, conducted, analy</w:t>
      </w:r>
      <w:r w:rsidR="00FC348D">
        <w:rPr>
          <w:rFonts w:ascii="Cambria" w:hAnsi="Cambria"/>
          <w:sz w:val="22"/>
          <w:szCs w:val="22"/>
        </w:rPr>
        <w:t>s</w:t>
      </w:r>
      <w:r w:rsidRPr="004B2698">
        <w:rPr>
          <w:rFonts w:ascii="Cambria" w:hAnsi="Cambria"/>
          <w:sz w:val="22"/>
          <w:szCs w:val="22"/>
        </w:rPr>
        <w:t xml:space="preserve">ed, reported and disseminated. The study within a trial (SWAT) initiative is one approach to providing evidence to improve the efficiency of trials. The SWAT </w:t>
      </w:r>
      <w:proofErr w:type="spellStart"/>
      <w:r w:rsidRPr="004B2698">
        <w:rPr>
          <w:rFonts w:ascii="Cambria" w:hAnsi="Cambria"/>
          <w:sz w:val="22"/>
          <w:szCs w:val="22"/>
        </w:rPr>
        <w:t>programme</w:t>
      </w:r>
      <w:proofErr w:type="spellEnd"/>
      <w:r w:rsidRPr="004B2698">
        <w:rPr>
          <w:rFonts w:ascii="Cambria" w:hAnsi="Cambria"/>
          <w:sz w:val="22"/>
          <w:szCs w:val="22"/>
        </w:rPr>
        <w:t xml:space="preserve"> involves </w:t>
      </w:r>
      <w:r w:rsidR="00FC348D" w:rsidRPr="004B2698">
        <w:rPr>
          <w:rFonts w:ascii="Cambria" w:hAnsi="Cambria"/>
          <w:sz w:val="22"/>
          <w:szCs w:val="22"/>
        </w:rPr>
        <w:t xml:space="preserve">smaller studies focused on trying to find better ways to do trials </w:t>
      </w:r>
      <w:r w:rsidRPr="004B2698">
        <w:rPr>
          <w:rFonts w:ascii="Cambria" w:hAnsi="Cambria"/>
          <w:sz w:val="22"/>
          <w:szCs w:val="22"/>
        </w:rPr>
        <w:t xml:space="preserve">into </w:t>
      </w:r>
      <w:r w:rsidR="00FC348D">
        <w:rPr>
          <w:rFonts w:ascii="Cambria" w:hAnsi="Cambria"/>
          <w:sz w:val="22"/>
          <w:szCs w:val="22"/>
        </w:rPr>
        <w:t xml:space="preserve">host </w:t>
      </w:r>
      <w:r w:rsidRPr="004B2698">
        <w:rPr>
          <w:rFonts w:ascii="Cambria" w:hAnsi="Cambria"/>
          <w:sz w:val="22"/>
          <w:szCs w:val="22"/>
        </w:rPr>
        <w:t>trials.</w:t>
      </w:r>
    </w:p>
    <w:p w14:paraId="5DC41C9F" w14:textId="77777777" w:rsidR="00FC348D" w:rsidRDefault="00FC348D" w:rsidP="004B2698">
      <w:pPr>
        <w:pStyle w:val="Default"/>
        <w:spacing w:line="360" w:lineRule="auto"/>
        <w:rPr>
          <w:rFonts w:ascii="Cambria" w:hAnsi="Cambria"/>
          <w:sz w:val="22"/>
          <w:szCs w:val="22"/>
        </w:rPr>
      </w:pPr>
    </w:p>
    <w:p w14:paraId="39038834" w14:textId="1B1FEBAB" w:rsidR="004B2698" w:rsidRDefault="00FC348D" w:rsidP="004B2698">
      <w:pPr>
        <w:pStyle w:val="Default"/>
        <w:spacing w:line="360" w:lineRule="auto"/>
        <w:rPr>
          <w:rFonts w:ascii="Cambria" w:hAnsi="Cambria"/>
          <w:sz w:val="22"/>
          <w:szCs w:val="22"/>
        </w:rPr>
      </w:pPr>
      <w:r>
        <w:rPr>
          <w:rFonts w:ascii="Cambria" w:hAnsi="Cambria"/>
          <w:sz w:val="22"/>
          <w:szCs w:val="22"/>
        </w:rPr>
        <w:t xml:space="preserve">Please see the following </w:t>
      </w:r>
      <w:r w:rsidRPr="00FC348D">
        <w:rPr>
          <w:rFonts w:ascii="Cambria" w:hAnsi="Cambria"/>
          <w:sz w:val="22"/>
          <w:szCs w:val="22"/>
          <w:lang w:val="en-IE"/>
        </w:rPr>
        <w:t xml:space="preserve">guidance document </w:t>
      </w:r>
      <w:r>
        <w:rPr>
          <w:rFonts w:ascii="Cambria" w:hAnsi="Cambria"/>
          <w:sz w:val="22"/>
          <w:szCs w:val="22"/>
          <w:lang w:val="en-IE"/>
        </w:rPr>
        <w:t xml:space="preserve">for </w:t>
      </w:r>
      <w:r w:rsidRPr="00FC348D">
        <w:rPr>
          <w:rFonts w:ascii="Cambria" w:hAnsi="Cambria"/>
          <w:sz w:val="22"/>
          <w:szCs w:val="22"/>
          <w:lang w:val="en-IE"/>
        </w:rPr>
        <w:t>a brief definition of SWATs, an explanation of why they are important and some practical ‘top tips’ that come from existing experience of doing SWATs</w:t>
      </w:r>
      <w:r>
        <w:rPr>
          <w:rFonts w:ascii="Cambria" w:hAnsi="Cambria"/>
          <w:sz w:val="22"/>
          <w:szCs w:val="22"/>
          <w:lang w:val="en-IE"/>
        </w:rPr>
        <w:t xml:space="preserve"> </w:t>
      </w:r>
      <w:hyperlink r:id="rId5" w:history="1">
        <w:r w:rsidRPr="009E4A60">
          <w:rPr>
            <w:rStyle w:val="Hyperlink"/>
            <w:rFonts w:ascii="Cambria" w:hAnsi="Cambria"/>
            <w:sz w:val="22"/>
            <w:szCs w:val="22"/>
          </w:rPr>
          <w:t>https://trialsjournal.biomedcentral.com/articles/10.1186/s13063-018-2535-5</w:t>
        </w:r>
      </w:hyperlink>
    </w:p>
    <w:p w14:paraId="491E72C9" w14:textId="77777777" w:rsidR="0035332F" w:rsidRPr="002E548A" w:rsidRDefault="0035332F" w:rsidP="0035332F">
      <w:pPr>
        <w:autoSpaceDE w:val="0"/>
        <w:autoSpaceDN w:val="0"/>
        <w:adjustRightInd w:val="0"/>
        <w:rPr>
          <w:rFonts w:ascii="Cambria" w:hAnsi="Cambria" w:cs="Cambria"/>
          <w:color w:val="0070C0"/>
          <w:lang w:val="en-US"/>
        </w:rPr>
      </w:pPr>
    </w:p>
    <w:p w14:paraId="30265AEB" w14:textId="078718D2" w:rsidR="0035332F" w:rsidRPr="002E548A" w:rsidRDefault="0035332F" w:rsidP="004B2698">
      <w:pPr>
        <w:autoSpaceDE w:val="0"/>
        <w:autoSpaceDN w:val="0"/>
        <w:adjustRightInd w:val="0"/>
        <w:spacing w:line="360" w:lineRule="auto"/>
        <w:rPr>
          <w:rFonts w:ascii="Cambria" w:hAnsi="Cambria" w:cs="Cambria"/>
          <w:color w:val="0070C0"/>
          <w:sz w:val="28"/>
          <w:szCs w:val="28"/>
          <w:lang w:val="en-US"/>
        </w:rPr>
      </w:pPr>
      <w:r w:rsidRPr="002E548A">
        <w:rPr>
          <w:rFonts w:ascii="Cambria" w:hAnsi="Cambria" w:cs="Cambria"/>
          <w:b/>
          <w:bCs/>
          <w:color w:val="0070C0"/>
          <w:sz w:val="28"/>
          <w:szCs w:val="28"/>
          <w:lang w:val="en-US"/>
        </w:rPr>
        <w:t xml:space="preserve">Scope of the current call </w:t>
      </w:r>
    </w:p>
    <w:p w14:paraId="5E20116B" w14:textId="77777777" w:rsidR="00C46EE7" w:rsidRDefault="0035332F" w:rsidP="004B2698">
      <w:pPr>
        <w:autoSpaceDE w:val="0"/>
        <w:autoSpaceDN w:val="0"/>
        <w:adjustRightInd w:val="0"/>
        <w:spacing w:line="360" w:lineRule="auto"/>
        <w:rPr>
          <w:rFonts w:ascii="Cambria" w:hAnsi="Cambria" w:cs="Calibri"/>
          <w:color w:val="000000"/>
          <w:sz w:val="22"/>
          <w:szCs w:val="22"/>
          <w:lang w:val="en-US"/>
        </w:rPr>
      </w:pPr>
      <w:r w:rsidRPr="004B2698">
        <w:rPr>
          <w:rFonts w:ascii="Cambria" w:hAnsi="Cambria" w:cs="Calibri"/>
          <w:color w:val="000000"/>
          <w:sz w:val="22"/>
          <w:szCs w:val="22"/>
          <w:lang w:val="en-US"/>
        </w:rPr>
        <w:t>The scope of the current call is to facilitate the embedding of a study within an ongoing trial.</w:t>
      </w:r>
    </w:p>
    <w:p w14:paraId="00936ECD" w14:textId="07356E8B" w:rsidR="00C46EE7" w:rsidRDefault="0035332F" w:rsidP="004B2698">
      <w:pPr>
        <w:autoSpaceDE w:val="0"/>
        <w:autoSpaceDN w:val="0"/>
        <w:adjustRightInd w:val="0"/>
        <w:spacing w:line="360" w:lineRule="auto"/>
        <w:rPr>
          <w:rFonts w:ascii="Cambria" w:hAnsi="Cambria" w:cs="Times New Roman"/>
          <w:color w:val="000000"/>
          <w:sz w:val="22"/>
          <w:szCs w:val="22"/>
          <w:lang w:val="en-US"/>
        </w:rPr>
      </w:pPr>
      <w:r w:rsidRPr="004B2698">
        <w:rPr>
          <w:rFonts w:ascii="Cambria" w:hAnsi="Cambria" w:cs="Calibri"/>
          <w:color w:val="000000"/>
          <w:sz w:val="22"/>
          <w:szCs w:val="22"/>
          <w:lang w:val="en-US"/>
        </w:rPr>
        <w:t xml:space="preserve">The SWAT should address an independent methodology research question on either the design, conduct, </w:t>
      </w:r>
      <w:r w:rsidRPr="004B2698">
        <w:rPr>
          <w:rFonts w:ascii="Cambria" w:hAnsi="Cambria" w:cs="Times New Roman"/>
          <w:color w:val="000000"/>
          <w:sz w:val="22"/>
          <w:szCs w:val="22"/>
          <w:lang w:val="en-US"/>
        </w:rPr>
        <w:t>analysis, repor</w:t>
      </w:r>
      <w:r w:rsidR="004B2698" w:rsidRPr="004B2698">
        <w:rPr>
          <w:rFonts w:ascii="Cambria" w:hAnsi="Cambria" w:cs="Times New Roman"/>
          <w:color w:val="000000"/>
          <w:sz w:val="22"/>
          <w:szCs w:val="22"/>
          <w:lang w:val="en-US"/>
        </w:rPr>
        <w:t>ting or dissemination of trials</w:t>
      </w:r>
      <w:r w:rsidRPr="004B2698">
        <w:rPr>
          <w:rFonts w:ascii="Cambria" w:hAnsi="Cambria" w:cs="Times New Roman"/>
          <w:color w:val="000000"/>
          <w:sz w:val="22"/>
          <w:szCs w:val="22"/>
          <w:lang w:val="en-US"/>
        </w:rPr>
        <w:t>, for which there is current uncertainty and</w:t>
      </w:r>
      <w:r w:rsidR="004B2698">
        <w:rPr>
          <w:rFonts w:ascii="Cambria" w:hAnsi="Cambria" w:cs="Times New Roman"/>
          <w:color w:val="000000"/>
          <w:sz w:val="22"/>
          <w:szCs w:val="22"/>
          <w:lang w:val="en-US"/>
        </w:rPr>
        <w:t xml:space="preserve"> a need to</w:t>
      </w:r>
      <w:r w:rsidRPr="004B2698">
        <w:rPr>
          <w:rFonts w:ascii="Cambria" w:hAnsi="Cambria" w:cs="Times New Roman"/>
          <w:color w:val="000000"/>
          <w:sz w:val="22"/>
          <w:szCs w:val="22"/>
          <w:lang w:val="en-US"/>
        </w:rPr>
        <w:t xml:space="preserve"> provide evidence to support alternative ways of delivering or </w:t>
      </w:r>
      <w:proofErr w:type="spellStart"/>
      <w:r w:rsidRPr="004B2698">
        <w:rPr>
          <w:rFonts w:ascii="Cambria" w:hAnsi="Cambria" w:cs="Times New Roman"/>
          <w:color w:val="000000"/>
          <w:sz w:val="22"/>
          <w:szCs w:val="22"/>
          <w:lang w:val="en-US"/>
        </w:rPr>
        <w:t>organising</w:t>
      </w:r>
      <w:proofErr w:type="spellEnd"/>
      <w:r w:rsidRPr="004B2698">
        <w:rPr>
          <w:rFonts w:ascii="Cambria" w:hAnsi="Cambria" w:cs="Times New Roman"/>
          <w:color w:val="000000"/>
          <w:sz w:val="22"/>
          <w:szCs w:val="22"/>
          <w:lang w:val="en-US"/>
        </w:rPr>
        <w:t xml:space="preserve"> trial processes.</w:t>
      </w:r>
    </w:p>
    <w:p w14:paraId="744D2788" w14:textId="68EEBF33" w:rsidR="0035332F" w:rsidRPr="004B2698" w:rsidRDefault="00FC348D" w:rsidP="004B2698">
      <w:pPr>
        <w:autoSpaceDE w:val="0"/>
        <w:autoSpaceDN w:val="0"/>
        <w:adjustRightInd w:val="0"/>
        <w:spacing w:line="360" w:lineRule="auto"/>
        <w:rPr>
          <w:rFonts w:ascii="Cambria" w:hAnsi="Cambria" w:cs="Times New Roman"/>
          <w:color w:val="000000"/>
          <w:sz w:val="22"/>
          <w:szCs w:val="22"/>
          <w:lang w:val="en-US"/>
        </w:rPr>
      </w:pPr>
      <w:r>
        <w:rPr>
          <w:rFonts w:ascii="Cambria" w:hAnsi="Cambria" w:cs="Times New Roman"/>
          <w:color w:val="000000"/>
          <w:sz w:val="22"/>
          <w:szCs w:val="22"/>
          <w:lang w:val="en-US"/>
        </w:rPr>
        <w:lastRenderedPageBreak/>
        <w:t>The primary purpose of p</w:t>
      </w:r>
      <w:r w:rsidR="0035332F" w:rsidRPr="004B2698">
        <w:rPr>
          <w:rFonts w:ascii="Cambria" w:hAnsi="Cambria" w:cs="Times New Roman"/>
          <w:color w:val="000000"/>
          <w:sz w:val="22"/>
          <w:szCs w:val="22"/>
          <w:lang w:val="en-US"/>
        </w:rPr>
        <w:t xml:space="preserve">rocess evaluations </w:t>
      </w:r>
      <w:r>
        <w:rPr>
          <w:rFonts w:ascii="Cambria" w:hAnsi="Cambria" w:cs="Times New Roman"/>
          <w:color w:val="000000"/>
          <w:sz w:val="22"/>
          <w:szCs w:val="22"/>
          <w:lang w:val="en-US"/>
        </w:rPr>
        <w:t xml:space="preserve">it to assess </w:t>
      </w:r>
      <w:r w:rsidR="0035332F" w:rsidRPr="004B2698">
        <w:rPr>
          <w:rFonts w:ascii="Cambria" w:hAnsi="Cambria" w:cs="Times New Roman"/>
          <w:color w:val="000000"/>
          <w:sz w:val="22"/>
          <w:szCs w:val="22"/>
          <w:lang w:val="en-US"/>
        </w:rPr>
        <w:t xml:space="preserve">fidelity, implementation, causal mechanisms and contextual factors </w:t>
      </w:r>
      <w:r>
        <w:rPr>
          <w:rFonts w:ascii="Cambria" w:hAnsi="Cambria" w:cs="Times New Roman"/>
          <w:color w:val="000000"/>
          <w:sz w:val="22"/>
          <w:szCs w:val="22"/>
          <w:lang w:val="en-US"/>
        </w:rPr>
        <w:t xml:space="preserve">rather than </w:t>
      </w:r>
      <w:r w:rsidR="0035332F" w:rsidRPr="004B2698">
        <w:rPr>
          <w:rFonts w:ascii="Cambria" w:hAnsi="Cambria" w:cs="Times New Roman"/>
          <w:color w:val="000000"/>
          <w:sz w:val="22"/>
          <w:szCs w:val="22"/>
          <w:lang w:val="en-US"/>
        </w:rPr>
        <w:t xml:space="preserve">address </w:t>
      </w:r>
      <w:r w:rsidR="004B2698">
        <w:rPr>
          <w:rFonts w:ascii="Cambria" w:hAnsi="Cambria" w:cs="Times New Roman"/>
          <w:color w:val="000000"/>
          <w:sz w:val="22"/>
          <w:szCs w:val="22"/>
          <w:lang w:val="en-US"/>
        </w:rPr>
        <w:t xml:space="preserve">a </w:t>
      </w:r>
      <w:r w:rsidR="0035332F" w:rsidRPr="004B2698">
        <w:rPr>
          <w:rFonts w:ascii="Cambria" w:hAnsi="Cambria" w:cs="Times New Roman"/>
          <w:color w:val="000000"/>
          <w:sz w:val="22"/>
          <w:szCs w:val="22"/>
          <w:lang w:val="en-US"/>
        </w:rPr>
        <w:t xml:space="preserve">primary trial methodology question and </w:t>
      </w:r>
      <w:r>
        <w:rPr>
          <w:rFonts w:ascii="Cambria" w:hAnsi="Cambria" w:cs="Times New Roman"/>
          <w:color w:val="000000"/>
          <w:sz w:val="22"/>
          <w:szCs w:val="22"/>
          <w:lang w:val="en-US"/>
        </w:rPr>
        <w:t xml:space="preserve">process evaluations </w:t>
      </w:r>
      <w:r w:rsidR="0035332F" w:rsidRPr="004B2698">
        <w:rPr>
          <w:rFonts w:ascii="Cambria" w:hAnsi="Cambria" w:cs="Times New Roman"/>
          <w:color w:val="000000"/>
          <w:sz w:val="22"/>
          <w:szCs w:val="22"/>
          <w:lang w:val="en-US"/>
        </w:rPr>
        <w:t>are there</w:t>
      </w:r>
      <w:r w:rsidR="00C46EE7">
        <w:rPr>
          <w:rFonts w:ascii="Cambria" w:hAnsi="Cambria" w:cs="Times New Roman"/>
          <w:color w:val="000000"/>
          <w:sz w:val="22"/>
          <w:szCs w:val="22"/>
          <w:lang w:val="en-US"/>
        </w:rPr>
        <w:t>fore</w:t>
      </w:r>
      <w:r w:rsidR="0035332F" w:rsidRPr="004B2698">
        <w:rPr>
          <w:rFonts w:ascii="Cambria" w:hAnsi="Cambria" w:cs="Times New Roman"/>
          <w:color w:val="000000"/>
          <w:sz w:val="22"/>
          <w:szCs w:val="22"/>
          <w:lang w:val="en-US"/>
        </w:rPr>
        <w:t xml:space="preserve"> </w:t>
      </w:r>
      <w:r w:rsidR="00C46EE7">
        <w:rPr>
          <w:rFonts w:ascii="Cambria" w:hAnsi="Cambria" w:cs="Times New Roman"/>
          <w:color w:val="000000"/>
          <w:sz w:val="22"/>
          <w:szCs w:val="22"/>
          <w:lang w:val="en-US"/>
        </w:rPr>
        <w:t xml:space="preserve">not </w:t>
      </w:r>
      <w:r w:rsidR="0035332F" w:rsidRPr="004B2698">
        <w:rPr>
          <w:rFonts w:ascii="Cambria" w:hAnsi="Cambria" w:cs="Times New Roman"/>
          <w:color w:val="000000"/>
          <w:sz w:val="22"/>
          <w:szCs w:val="22"/>
          <w:lang w:val="en-US"/>
        </w:rPr>
        <w:t xml:space="preserve">eligible for this </w:t>
      </w:r>
      <w:r>
        <w:rPr>
          <w:rFonts w:ascii="Cambria" w:hAnsi="Cambria" w:cs="Times New Roman"/>
          <w:color w:val="000000"/>
          <w:sz w:val="22"/>
          <w:szCs w:val="22"/>
          <w:lang w:val="en-US"/>
        </w:rPr>
        <w:t xml:space="preserve">particular </w:t>
      </w:r>
      <w:r w:rsidR="0035332F" w:rsidRPr="004B2698">
        <w:rPr>
          <w:rFonts w:ascii="Cambria" w:hAnsi="Cambria" w:cs="Times New Roman"/>
          <w:color w:val="000000"/>
          <w:sz w:val="22"/>
          <w:szCs w:val="22"/>
          <w:lang w:val="en-US"/>
        </w:rPr>
        <w:t>call.</w:t>
      </w:r>
    </w:p>
    <w:p w14:paraId="7EE75B70" w14:textId="77777777" w:rsidR="004B2698" w:rsidRPr="004B2698" w:rsidRDefault="004B2698" w:rsidP="004B2698">
      <w:pPr>
        <w:autoSpaceDE w:val="0"/>
        <w:autoSpaceDN w:val="0"/>
        <w:adjustRightInd w:val="0"/>
        <w:spacing w:line="360" w:lineRule="auto"/>
        <w:rPr>
          <w:rFonts w:ascii="Cambria" w:hAnsi="Cambria" w:cs="Times New Roman"/>
          <w:color w:val="000000"/>
          <w:sz w:val="22"/>
          <w:szCs w:val="22"/>
          <w:lang w:val="en-US"/>
        </w:rPr>
      </w:pPr>
    </w:p>
    <w:p w14:paraId="4EF276E1" w14:textId="77777777" w:rsidR="0035332F" w:rsidRPr="002E548A" w:rsidRDefault="0035332F" w:rsidP="004B2698">
      <w:pPr>
        <w:autoSpaceDE w:val="0"/>
        <w:autoSpaceDN w:val="0"/>
        <w:adjustRightInd w:val="0"/>
        <w:spacing w:line="360" w:lineRule="auto"/>
        <w:rPr>
          <w:rFonts w:ascii="Times New Roman" w:hAnsi="Times New Roman" w:cs="Times New Roman"/>
          <w:b/>
          <w:color w:val="0070C0"/>
          <w:sz w:val="28"/>
          <w:szCs w:val="28"/>
          <w:lang w:val="en-US"/>
        </w:rPr>
      </w:pPr>
      <w:r w:rsidRPr="002E548A">
        <w:rPr>
          <w:rFonts w:ascii="Cambria" w:hAnsi="Cambria" w:cs="Times New Roman"/>
          <w:b/>
          <w:color w:val="0070C0"/>
          <w:sz w:val="28"/>
          <w:szCs w:val="28"/>
          <w:lang w:val="en-US"/>
        </w:rPr>
        <w:t>Number of</w:t>
      </w:r>
      <w:r w:rsidRPr="002E548A">
        <w:rPr>
          <w:rFonts w:ascii="Times New Roman" w:hAnsi="Times New Roman" w:cs="Times New Roman"/>
          <w:b/>
          <w:color w:val="0070C0"/>
          <w:sz w:val="28"/>
          <w:szCs w:val="28"/>
          <w:lang w:val="en-US"/>
        </w:rPr>
        <w:t xml:space="preserve"> awards</w:t>
      </w:r>
    </w:p>
    <w:p w14:paraId="46C773EC" w14:textId="58C9D48B" w:rsidR="0035332F" w:rsidRPr="00282F29" w:rsidRDefault="0035332F" w:rsidP="004B2698">
      <w:pPr>
        <w:autoSpaceDE w:val="0"/>
        <w:autoSpaceDN w:val="0"/>
        <w:adjustRightInd w:val="0"/>
        <w:spacing w:line="360" w:lineRule="auto"/>
        <w:rPr>
          <w:rFonts w:ascii="Cambria" w:hAnsi="Cambria" w:cs="Times New Roman"/>
          <w:color w:val="000000"/>
          <w:sz w:val="22"/>
          <w:szCs w:val="22"/>
          <w:lang w:val="en-US"/>
        </w:rPr>
      </w:pPr>
      <w:r w:rsidRPr="00282F29">
        <w:rPr>
          <w:rFonts w:ascii="Cambria" w:hAnsi="Cambria" w:cs="Times New Roman"/>
          <w:color w:val="000000"/>
          <w:sz w:val="22"/>
          <w:szCs w:val="22"/>
          <w:lang w:val="en-US"/>
        </w:rPr>
        <w:t>One award is available of up to €25,000, inclusive of 25% overheads. Overheads are calculated as 25% of direct project costs. Award duration is for up to 12 months and strict timelines will apply.</w:t>
      </w:r>
    </w:p>
    <w:p w14:paraId="51EBB4BB" w14:textId="77777777" w:rsidR="004B2698" w:rsidRDefault="004B2698" w:rsidP="004B2698">
      <w:pPr>
        <w:autoSpaceDE w:val="0"/>
        <w:autoSpaceDN w:val="0"/>
        <w:adjustRightInd w:val="0"/>
        <w:spacing w:line="360" w:lineRule="auto"/>
        <w:rPr>
          <w:rFonts w:ascii="Times New Roman" w:hAnsi="Times New Roman" w:cs="Times New Roman"/>
          <w:color w:val="000000"/>
          <w:sz w:val="22"/>
          <w:szCs w:val="22"/>
          <w:lang w:val="en-US"/>
        </w:rPr>
      </w:pPr>
    </w:p>
    <w:p w14:paraId="6CB70AEF" w14:textId="77777777" w:rsidR="0035332F" w:rsidRPr="002E548A" w:rsidRDefault="0035332F" w:rsidP="00282F29">
      <w:pPr>
        <w:autoSpaceDE w:val="0"/>
        <w:autoSpaceDN w:val="0"/>
        <w:adjustRightInd w:val="0"/>
        <w:spacing w:line="360" w:lineRule="auto"/>
        <w:rPr>
          <w:rFonts w:ascii="Cambria" w:hAnsi="Cambria" w:cs="Times New Roman"/>
          <w:b/>
          <w:color w:val="0070C0"/>
          <w:sz w:val="28"/>
          <w:szCs w:val="28"/>
          <w:lang w:val="en-US"/>
        </w:rPr>
      </w:pPr>
      <w:r w:rsidRPr="002E548A">
        <w:rPr>
          <w:rFonts w:ascii="Cambria" w:hAnsi="Cambria" w:cs="Times New Roman"/>
          <w:b/>
          <w:color w:val="0070C0"/>
          <w:sz w:val="28"/>
          <w:szCs w:val="28"/>
          <w:lang w:val="en-US"/>
        </w:rPr>
        <w:t>Who should apply</w:t>
      </w:r>
    </w:p>
    <w:p w14:paraId="452B69BC" w14:textId="75091474" w:rsidR="0035332F" w:rsidRDefault="0035332F" w:rsidP="00282F29">
      <w:pPr>
        <w:autoSpaceDE w:val="0"/>
        <w:autoSpaceDN w:val="0"/>
        <w:adjustRightInd w:val="0"/>
        <w:spacing w:line="360" w:lineRule="auto"/>
        <w:rPr>
          <w:rFonts w:ascii="Cambria" w:hAnsi="Cambria" w:cs="Times New Roman"/>
          <w:color w:val="000000"/>
          <w:sz w:val="22"/>
          <w:szCs w:val="22"/>
          <w:lang w:val="en-US"/>
        </w:rPr>
      </w:pPr>
      <w:r w:rsidRPr="00282F29">
        <w:rPr>
          <w:rFonts w:ascii="Cambria" w:hAnsi="Cambria" w:cs="Times New Roman"/>
          <w:color w:val="000000"/>
          <w:sz w:val="22"/>
          <w:szCs w:val="22"/>
          <w:lang w:val="en-US"/>
        </w:rPr>
        <w:t xml:space="preserve">Trial investigator teams working on a planned or an ongoing randomised trial are invited to apply. Approval for the SWAT application must be obtained </w:t>
      </w:r>
      <w:r w:rsidR="00C46EE7">
        <w:rPr>
          <w:rFonts w:ascii="Cambria" w:hAnsi="Cambria" w:cs="Times New Roman"/>
          <w:color w:val="000000"/>
          <w:sz w:val="22"/>
          <w:szCs w:val="22"/>
          <w:lang w:val="en-US"/>
        </w:rPr>
        <w:t xml:space="preserve">in writing </w:t>
      </w:r>
      <w:r w:rsidRPr="00282F29">
        <w:rPr>
          <w:rFonts w:ascii="Cambria" w:hAnsi="Cambria" w:cs="Times New Roman"/>
          <w:color w:val="000000"/>
          <w:sz w:val="22"/>
          <w:szCs w:val="22"/>
          <w:lang w:val="en-US"/>
        </w:rPr>
        <w:t xml:space="preserve">from the Principal </w:t>
      </w:r>
      <w:r w:rsidR="00282F29">
        <w:rPr>
          <w:rFonts w:ascii="Cambria" w:hAnsi="Cambria" w:cs="Times New Roman"/>
          <w:color w:val="000000"/>
          <w:sz w:val="22"/>
          <w:szCs w:val="22"/>
          <w:lang w:val="en-US"/>
        </w:rPr>
        <w:t xml:space="preserve">Investigator for the host trial. </w:t>
      </w:r>
    </w:p>
    <w:p w14:paraId="78628C0A" w14:textId="77777777" w:rsidR="00FC348D" w:rsidRPr="00282F29" w:rsidRDefault="00FC348D" w:rsidP="00282F29">
      <w:pPr>
        <w:autoSpaceDE w:val="0"/>
        <w:autoSpaceDN w:val="0"/>
        <w:adjustRightInd w:val="0"/>
        <w:spacing w:line="360" w:lineRule="auto"/>
        <w:rPr>
          <w:rFonts w:ascii="Cambria" w:hAnsi="Cambria" w:cs="Times New Roman"/>
          <w:color w:val="000000"/>
          <w:sz w:val="22"/>
          <w:szCs w:val="22"/>
          <w:lang w:val="en-US"/>
        </w:rPr>
      </w:pPr>
    </w:p>
    <w:p w14:paraId="2DC45303" w14:textId="0298D4C4" w:rsidR="00C46EE7" w:rsidRPr="00007277" w:rsidRDefault="0035332F" w:rsidP="00C46EE7">
      <w:pPr>
        <w:autoSpaceDE w:val="0"/>
        <w:autoSpaceDN w:val="0"/>
        <w:adjustRightInd w:val="0"/>
        <w:spacing w:line="360" w:lineRule="auto"/>
        <w:rPr>
          <w:rFonts w:ascii="Cambria" w:hAnsi="Cambria" w:cs="Times New Roman"/>
          <w:b/>
          <w:color w:val="000000"/>
          <w:sz w:val="22"/>
          <w:szCs w:val="22"/>
          <w:lang w:val="en-US"/>
        </w:rPr>
      </w:pPr>
      <w:r w:rsidRPr="00007277">
        <w:rPr>
          <w:rFonts w:ascii="Cambria" w:hAnsi="Cambria" w:cs="Times New Roman"/>
          <w:b/>
          <w:color w:val="000000"/>
          <w:sz w:val="22"/>
          <w:szCs w:val="22"/>
          <w:lang w:val="en-US"/>
        </w:rPr>
        <w:t>The award must be held and managed within one of the following HRB-TMRN institutions</w:t>
      </w:r>
      <w:r w:rsidR="00FC348D" w:rsidRPr="00007277">
        <w:rPr>
          <w:rFonts w:ascii="Cambria" w:hAnsi="Cambria" w:cs="Times New Roman"/>
          <w:b/>
          <w:color w:val="000000"/>
          <w:sz w:val="22"/>
          <w:szCs w:val="22"/>
          <w:lang w:val="en-US"/>
        </w:rPr>
        <w:t xml:space="preserve"> (each of whom have contributed to HRB-TMRN funding</w:t>
      </w:r>
      <w:r w:rsidR="00007277">
        <w:rPr>
          <w:rFonts w:ascii="Cambria" w:hAnsi="Cambria" w:cs="Times New Roman"/>
          <w:b/>
          <w:color w:val="000000"/>
          <w:sz w:val="22"/>
          <w:szCs w:val="22"/>
          <w:lang w:val="en-US"/>
        </w:rPr>
        <w:t>)</w:t>
      </w:r>
      <w:r w:rsidRPr="00007277">
        <w:rPr>
          <w:rFonts w:ascii="Cambria" w:hAnsi="Cambria" w:cs="Times New Roman"/>
          <w:b/>
          <w:color w:val="000000"/>
          <w:sz w:val="22"/>
          <w:szCs w:val="22"/>
          <w:lang w:val="en-US"/>
        </w:rPr>
        <w:t xml:space="preserve">; </w:t>
      </w:r>
    </w:p>
    <w:p w14:paraId="39339F35" w14:textId="1563B931" w:rsidR="00C46EE7" w:rsidRPr="00007277" w:rsidRDefault="0035332F" w:rsidP="00733E30">
      <w:pPr>
        <w:pStyle w:val="ListParagraph"/>
        <w:numPr>
          <w:ilvl w:val="0"/>
          <w:numId w:val="2"/>
        </w:numPr>
        <w:autoSpaceDE w:val="0"/>
        <w:autoSpaceDN w:val="0"/>
        <w:adjustRightInd w:val="0"/>
        <w:spacing w:line="360" w:lineRule="auto"/>
        <w:rPr>
          <w:rFonts w:ascii="Cambria" w:hAnsi="Cambria" w:cs="Times New Roman"/>
          <w:b/>
          <w:color w:val="000000"/>
          <w:sz w:val="22"/>
          <w:szCs w:val="22"/>
          <w:lang w:val="en-US"/>
        </w:rPr>
      </w:pPr>
      <w:r w:rsidRPr="00007277">
        <w:rPr>
          <w:rFonts w:ascii="Cambria" w:hAnsi="Cambria" w:cs="Times New Roman"/>
          <w:b/>
          <w:color w:val="000000"/>
          <w:sz w:val="22"/>
          <w:szCs w:val="22"/>
          <w:lang w:val="en-US"/>
        </w:rPr>
        <w:t>National University of Ireland Galway</w:t>
      </w:r>
    </w:p>
    <w:p w14:paraId="2CF6140D" w14:textId="20D87BF0" w:rsidR="00C46EE7" w:rsidRPr="00007277" w:rsidRDefault="0035332F" w:rsidP="00733E30">
      <w:pPr>
        <w:pStyle w:val="ListParagraph"/>
        <w:numPr>
          <w:ilvl w:val="0"/>
          <w:numId w:val="2"/>
        </w:numPr>
        <w:autoSpaceDE w:val="0"/>
        <w:autoSpaceDN w:val="0"/>
        <w:adjustRightInd w:val="0"/>
        <w:spacing w:line="360" w:lineRule="auto"/>
        <w:rPr>
          <w:rFonts w:ascii="Cambria" w:hAnsi="Cambria" w:cs="Times New Roman"/>
          <w:b/>
          <w:color w:val="000000"/>
          <w:sz w:val="22"/>
          <w:szCs w:val="22"/>
          <w:lang w:val="en-US"/>
        </w:rPr>
      </w:pPr>
      <w:r w:rsidRPr="00007277">
        <w:rPr>
          <w:rFonts w:ascii="Cambria" w:hAnsi="Cambria" w:cs="Times New Roman"/>
          <w:b/>
          <w:color w:val="000000"/>
          <w:sz w:val="22"/>
          <w:szCs w:val="22"/>
          <w:lang w:val="en-US"/>
        </w:rPr>
        <w:t>University College Cork</w:t>
      </w:r>
    </w:p>
    <w:p w14:paraId="03D62341" w14:textId="2C175ADD" w:rsidR="00C46EE7" w:rsidRPr="00007277" w:rsidRDefault="0035332F" w:rsidP="00733E30">
      <w:pPr>
        <w:pStyle w:val="ListParagraph"/>
        <w:numPr>
          <w:ilvl w:val="0"/>
          <w:numId w:val="2"/>
        </w:numPr>
        <w:autoSpaceDE w:val="0"/>
        <w:autoSpaceDN w:val="0"/>
        <w:adjustRightInd w:val="0"/>
        <w:spacing w:line="360" w:lineRule="auto"/>
        <w:rPr>
          <w:rFonts w:ascii="Cambria" w:hAnsi="Cambria" w:cs="Times New Roman"/>
          <w:b/>
          <w:color w:val="000000"/>
          <w:sz w:val="22"/>
          <w:szCs w:val="22"/>
          <w:lang w:val="en-US"/>
        </w:rPr>
      </w:pPr>
      <w:r w:rsidRPr="00007277">
        <w:rPr>
          <w:rFonts w:ascii="Cambria" w:hAnsi="Cambria" w:cs="Times New Roman"/>
          <w:b/>
          <w:color w:val="000000"/>
          <w:sz w:val="22"/>
          <w:szCs w:val="22"/>
          <w:lang w:val="en-US"/>
        </w:rPr>
        <w:t>Trinity College Dublin</w:t>
      </w:r>
    </w:p>
    <w:p w14:paraId="7C946771" w14:textId="17059E5D" w:rsidR="00C46EE7" w:rsidRPr="00733E30" w:rsidRDefault="0035332F" w:rsidP="00733E30">
      <w:pPr>
        <w:pStyle w:val="ListParagraph"/>
        <w:numPr>
          <w:ilvl w:val="0"/>
          <w:numId w:val="2"/>
        </w:numPr>
        <w:autoSpaceDE w:val="0"/>
        <w:autoSpaceDN w:val="0"/>
        <w:adjustRightInd w:val="0"/>
        <w:spacing w:line="360" w:lineRule="auto"/>
        <w:rPr>
          <w:rFonts w:ascii="Cambria" w:hAnsi="Cambria" w:cs="Times New Roman"/>
          <w:color w:val="000000"/>
          <w:sz w:val="22"/>
          <w:szCs w:val="22"/>
          <w:lang w:val="en-US"/>
        </w:rPr>
      </w:pPr>
      <w:r w:rsidRPr="00007277">
        <w:rPr>
          <w:rFonts w:ascii="Cambria" w:hAnsi="Cambria" w:cs="Times New Roman"/>
          <w:b/>
          <w:color w:val="000000"/>
          <w:sz w:val="22"/>
          <w:szCs w:val="22"/>
          <w:lang w:val="en-US"/>
        </w:rPr>
        <w:t>University College Dublin</w:t>
      </w:r>
    </w:p>
    <w:p w14:paraId="2D843554" w14:textId="68C55E63" w:rsidR="0035332F" w:rsidRPr="00282F29" w:rsidRDefault="0035332F" w:rsidP="00282F29">
      <w:pPr>
        <w:autoSpaceDE w:val="0"/>
        <w:autoSpaceDN w:val="0"/>
        <w:adjustRightInd w:val="0"/>
        <w:spacing w:before="100" w:beforeAutospacing="1" w:line="360" w:lineRule="auto"/>
        <w:rPr>
          <w:rFonts w:ascii="Cambria" w:hAnsi="Cambria" w:cs="Times New Roman"/>
          <w:color w:val="000000"/>
          <w:sz w:val="22"/>
          <w:szCs w:val="22"/>
          <w:lang w:val="en-US"/>
        </w:rPr>
      </w:pPr>
      <w:r w:rsidRPr="00282F29">
        <w:rPr>
          <w:rFonts w:ascii="Cambria" w:hAnsi="Cambria" w:cs="Times New Roman"/>
          <w:color w:val="000000"/>
          <w:sz w:val="22"/>
          <w:szCs w:val="22"/>
          <w:lang w:val="en-US"/>
        </w:rPr>
        <w:t xml:space="preserve">Lead applicants not based within these institutions </w:t>
      </w:r>
      <w:r w:rsidR="00C46EE7">
        <w:rPr>
          <w:rFonts w:ascii="Cambria" w:hAnsi="Cambria" w:cs="Times New Roman"/>
          <w:color w:val="000000"/>
          <w:sz w:val="22"/>
          <w:szCs w:val="22"/>
          <w:lang w:val="en-US"/>
        </w:rPr>
        <w:t>may</w:t>
      </w:r>
      <w:r w:rsidRPr="00282F29">
        <w:rPr>
          <w:rFonts w:ascii="Cambria" w:hAnsi="Cambria" w:cs="Times New Roman"/>
          <w:color w:val="000000"/>
          <w:sz w:val="22"/>
          <w:szCs w:val="22"/>
          <w:lang w:val="en-US"/>
        </w:rPr>
        <w:t xml:space="preserve"> apply provided there is financial management support agreed with one of the HRB-TMRN institutions listed above through a nominated collaborator. Please contact the HRB-TMRN </w:t>
      </w:r>
      <w:proofErr w:type="spellStart"/>
      <w:r w:rsidRPr="00282F29">
        <w:rPr>
          <w:rFonts w:ascii="Cambria" w:hAnsi="Cambria" w:cs="Times New Roman"/>
          <w:color w:val="000000"/>
          <w:sz w:val="22"/>
          <w:szCs w:val="22"/>
          <w:lang w:val="en-US"/>
        </w:rPr>
        <w:t>Programme</w:t>
      </w:r>
      <w:proofErr w:type="spellEnd"/>
      <w:r w:rsidRPr="00282F29">
        <w:rPr>
          <w:rFonts w:ascii="Cambria" w:hAnsi="Cambria" w:cs="Times New Roman"/>
          <w:color w:val="000000"/>
          <w:sz w:val="22"/>
          <w:szCs w:val="22"/>
          <w:lang w:val="en-US"/>
        </w:rPr>
        <w:t xml:space="preserve"> Manager for further information.</w:t>
      </w:r>
    </w:p>
    <w:p w14:paraId="592580BD" w14:textId="77777777" w:rsidR="00282F29" w:rsidRDefault="00282F29" w:rsidP="00282F29">
      <w:pPr>
        <w:autoSpaceDE w:val="0"/>
        <w:autoSpaceDN w:val="0"/>
        <w:adjustRightInd w:val="0"/>
        <w:spacing w:before="100" w:beforeAutospacing="1"/>
        <w:rPr>
          <w:rFonts w:ascii="Times New Roman" w:hAnsi="Times New Roman" w:cs="Times New Roman"/>
          <w:color w:val="000000"/>
          <w:sz w:val="22"/>
          <w:szCs w:val="22"/>
          <w:lang w:val="en-US"/>
        </w:rPr>
      </w:pPr>
    </w:p>
    <w:p w14:paraId="43FE9DCC" w14:textId="77777777" w:rsidR="0035332F" w:rsidRPr="002E548A" w:rsidRDefault="0035332F" w:rsidP="004565F5">
      <w:pPr>
        <w:autoSpaceDE w:val="0"/>
        <w:autoSpaceDN w:val="0"/>
        <w:adjustRightInd w:val="0"/>
        <w:spacing w:line="360" w:lineRule="auto"/>
        <w:rPr>
          <w:rFonts w:ascii="Cambria" w:hAnsi="Cambria" w:cs="Times New Roman"/>
          <w:b/>
          <w:color w:val="0070C0"/>
          <w:sz w:val="28"/>
          <w:szCs w:val="28"/>
          <w:lang w:val="en-US"/>
        </w:rPr>
      </w:pPr>
      <w:r w:rsidRPr="002E548A">
        <w:rPr>
          <w:rFonts w:ascii="Cambria" w:hAnsi="Cambria" w:cs="Times New Roman"/>
          <w:b/>
          <w:color w:val="0070C0"/>
          <w:sz w:val="28"/>
          <w:szCs w:val="28"/>
          <w:lang w:val="en-US"/>
        </w:rPr>
        <w:t>Eligibility criteria</w:t>
      </w:r>
    </w:p>
    <w:p w14:paraId="4F208F52" w14:textId="76C2FDE3" w:rsidR="004565F5" w:rsidRDefault="0035332F" w:rsidP="004565F5">
      <w:pPr>
        <w:pStyle w:val="ListParagraph"/>
        <w:numPr>
          <w:ilvl w:val="0"/>
          <w:numId w:val="1"/>
        </w:numPr>
        <w:autoSpaceDE w:val="0"/>
        <w:autoSpaceDN w:val="0"/>
        <w:adjustRightInd w:val="0"/>
        <w:spacing w:line="360" w:lineRule="auto"/>
        <w:rPr>
          <w:rFonts w:ascii="Cambria" w:hAnsi="Cambria" w:cs="Times New Roman"/>
          <w:color w:val="000000"/>
          <w:sz w:val="22"/>
          <w:szCs w:val="22"/>
          <w:lang w:val="en-US"/>
        </w:rPr>
      </w:pPr>
      <w:r w:rsidRPr="004565F5">
        <w:rPr>
          <w:rFonts w:ascii="Cambria" w:hAnsi="Cambria" w:cs="Times New Roman"/>
          <w:color w:val="000000"/>
          <w:sz w:val="22"/>
          <w:szCs w:val="22"/>
          <w:lang w:val="en-US"/>
        </w:rPr>
        <w:t>Applicants must be registered members of the HRB-TMRN Clinical Trial Expertise Database (C-TED)</w:t>
      </w:r>
      <w:r w:rsidR="00C46EE7">
        <w:rPr>
          <w:rFonts w:ascii="Cambria" w:hAnsi="Cambria" w:cs="Times New Roman"/>
          <w:color w:val="000000"/>
          <w:sz w:val="22"/>
          <w:szCs w:val="22"/>
          <w:lang w:val="en-US"/>
        </w:rPr>
        <w:t>;</w:t>
      </w:r>
    </w:p>
    <w:p w14:paraId="1D14DF3C" w14:textId="77777777" w:rsidR="004565F5" w:rsidRDefault="0035332F" w:rsidP="004565F5">
      <w:pPr>
        <w:pStyle w:val="ListParagraph"/>
        <w:numPr>
          <w:ilvl w:val="0"/>
          <w:numId w:val="1"/>
        </w:numPr>
        <w:autoSpaceDE w:val="0"/>
        <w:autoSpaceDN w:val="0"/>
        <w:adjustRightInd w:val="0"/>
        <w:spacing w:line="360" w:lineRule="auto"/>
        <w:rPr>
          <w:rFonts w:ascii="Cambria" w:hAnsi="Cambria" w:cs="Times New Roman"/>
          <w:color w:val="000000"/>
          <w:sz w:val="22"/>
          <w:szCs w:val="22"/>
          <w:lang w:val="en-US"/>
        </w:rPr>
      </w:pPr>
      <w:r w:rsidRPr="004565F5">
        <w:rPr>
          <w:rFonts w:ascii="Cambria" w:hAnsi="Cambria" w:cs="Times New Roman"/>
          <w:color w:val="000000"/>
          <w:sz w:val="22"/>
          <w:szCs w:val="22"/>
          <w:lang w:val="en-US"/>
        </w:rPr>
        <w:t>Applicants must provide evidence from host institution of provision for funding for the planned / ongoing host trial (letter from research office).</w:t>
      </w:r>
    </w:p>
    <w:p w14:paraId="12F33796" w14:textId="6C80CD31" w:rsidR="004565F5" w:rsidRDefault="0035332F" w:rsidP="004565F5">
      <w:pPr>
        <w:pStyle w:val="ListParagraph"/>
        <w:numPr>
          <w:ilvl w:val="1"/>
          <w:numId w:val="1"/>
        </w:numPr>
        <w:autoSpaceDE w:val="0"/>
        <w:autoSpaceDN w:val="0"/>
        <w:adjustRightInd w:val="0"/>
        <w:spacing w:line="360" w:lineRule="auto"/>
        <w:rPr>
          <w:rFonts w:ascii="Cambria" w:hAnsi="Cambria" w:cs="Times New Roman"/>
          <w:color w:val="000000"/>
          <w:sz w:val="22"/>
          <w:szCs w:val="22"/>
          <w:lang w:val="en-US"/>
        </w:rPr>
      </w:pPr>
      <w:r w:rsidRPr="004565F5">
        <w:rPr>
          <w:rFonts w:ascii="Cambria" w:hAnsi="Cambria" w:cs="Times New Roman"/>
          <w:color w:val="000000"/>
          <w:sz w:val="22"/>
          <w:szCs w:val="22"/>
          <w:lang w:val="en-US"/>
        </w:rPr>
        <w:t>In the event that the host trial is not reliant on funding</w:t>
      </w:r>
      <w:r w:rsidR="00C46EE7">
        <w:rPr>
          <w:rFonts w:ascii="Cambria" w:hAnsi="Cambria" w:cs="Times New Roman"/>
          <w:color w:val="000000"/>
          <w:sz w:val="22"/>
          <w:szCs w:val="22"/>
          <w:lang w:val="en-US"/>
        </w:rPr>
        <w:t>,</w:t>
      </w:r>
      <w:r w:rsidRPr="004565F5">
        <w:rPr>
          <w:rFonts w:ascii="Cambria" w:hAnsi="Cambria" w:cs="Times New Roman"/>
          <w:color w:val="000000"/>
          <w:sz w:val="22"/>
          <w:szCs w:val="22"/>
          <w:lang w:val="en-US"/>
        </w:rPr>
        <w:t xml:space="preserve"> please contact the HRB-TMRN </w:t>
      </w:r>
      <w:proofErr w:type="spellStart"/>
      <w:r w:rsidRPr="004565F5">
        <w:rPr>
          <w:rFonts w:ascii="Cambria" w:hAnsi="Cambria" w:cs="Times New Roman"/>
          <w:color w:val="000000"/>
          <w:sz w:val="22"/>
          <w:szCs w:val="22"/>
          <w:lang w:val="en-US"/>
        </w:rPr>
        <w:t>Programme</w:t>
      </w:r>
      <w:proofErr w:type="spellEnd"/>
      <w:r w:rsidRPr="004565F5">
        <w:rPr>
          <w:rFonts w:ascii="Cambria" w:hAnsi="Cambria" w:cs="Times New Roman"/>
          <w:color w:val="000000"/>
          <w:sz w:val="22"/>
          <w:szCs w:val="22"/>
          <w:lang w:val="en-US"/>
        </w:rPr>
        <w:t xml:space="preserve"> Manager</w:t>
      </w:r>
      <w:r w:rsidR="00C46EE7">
        <w:rPr>
          <w:rFonts w:ascii="Cambria" w:hAnsi="Cambria" w:cs="Times New Roman"/>
          <w:color w:val="000000"/>
          <w:sz w:val="22"/>
          <w:szCs w:val="22"/>
          <w:lang w:val="en-US"/>
        </w:rPr>
        <w:t>;</w:t>
      </w:r>
    </w:p>
    <w:p w14:paraId="3B8323C2" w14:textId="3192EC52" w:rsidR="0035332F" w:rsidRDefault="0035332F" w:rsidP="004565F5">
      <w:pPr>
        <w:pStyle w:val="ListParagraph"/>
        <w:numPr>
          <w:ilvl w:val="0"/>
          <w:numId w:val="1"/>
        </w:numPr>
        <w:autoSpaceDE w:val="0"/>
        <w:autoSpaceDN w:val="0"/>
        <w:adjustRightInd w:val="0"/>
        <w:spacing w:line="360" w:lineRule="auto"/>
        <w:rPr>
          <w:rFonts w:ascii="Cambria" w:hAnsi="Cambria" w:cs="Times New Roman"/>
          <w:color w:val="000000"/>
          <w:sz w:val="22"/>
          <w:szCs w:val="22"/>
          <w:lang w:val="en-US"/>
        </w:rPr>
      </w:pPr>
      <w:r w:rsidRPr="004565F5">
        <w:rPr>
          <w:rFonts w:ascii="Cambria" w:hAnsi="Cambria" w:cs="Times New Roman"/>
          <w:color w:val="000000"/>
          <w:sz w:val="22"/>
          <w:szCs w:val="22"/>
          <w:lang w:val="en-US"/>
        </w:rPr>
        <w:t>Applicants must provide evidence of mentoring arrangements (where appropriate) to provide academic and clinical/practice-based support</w:t>
      </w:r>
      <w:r w:rsidR="00C46EE7">
        <w:rPr>
          <w:rFonts w:ascii="Cambria" w:hAnsi="Cambria" w:cs="Times New Roman"/>
          <w:color w:val="000000"/>
          <w:sz w:val="22"/>
          <w:szCs w:val="22"/>
          <w:lang w:val="en-US"/>
        </w:rPr>
        <w:t>;</w:t>
      </w:r>
    </w:p>
    <w:p w14:paraId="2DC9EA13" w14:textId="04BF8281" w:rsidR="00C46EE7" w:rsidRDefault="00C46EE7" w:rsidP="004565F5">
      <w:pPr>
        <w:pStyle w:val="ListParagraph"/>
        <w:numPr>
          <w:ilvl w:val="0"/>
          <w:numId w:val="1"/>
        </w:numPr>
        <w:autoSpaceDE w:val="0"/>
        <w:autoSpaceDN w:val="0"/>
        <w:adjustRightInd w:val="0"/>
        <w:spacing w:line="360" w:lineRule="auto"/>
        <w:rPr>
          <w:rFonts w:ascii="Cambria" w:hAnsi="Cambria" w:cs="Times New Roman"/>
          <w:color w:val="000000"/>
          <w:sz w:val="22"/>
          <w:szCs w:val="22"/>
          <w:lang w:val="en-US"/>
        </w:rPr>
      </w:pPr>
      <w:r>
        <w:rPr>
          <w:rFonts w:ascii="Cambria" w:hAnsi="Cambria" w:cs="Times New Roman"/>
          <w:color w:val="000000"/>
          <w:sz w:val="22"/>
          <w:szCs w:val="22"/>
          <w:lang w:val="en-US"/>
        </w:rPr>
        <w:lastRenderedPageBreak/>
        <w:t>Research funding awarded must be managed in a separate reportable account;</w:t>
      </w:r>
    </w:p>
    <w:p w14:paraId="2EE884A2" w14:textId="3C270F30" w:rsidR="002E548A" w:rsidRPr="00C46EE7" w:rsidRDefault="00A80CB9" w:rsidP="00C2041C">
      <w:pPr>
        <w:pStyle w:val="ListParagraph"/>
        <w:numPr>
          <w:ilvl w:val="0"/>
          <w:numId w:val="1"/>
        </w:numPr>
        <w:autoSpaceDE w:val="0"/>
        <w:autoSpaceDN w:val="0"/>
        <w:adjustRightInd w:val="0"/>
        <w:spacing w:line="360" w:lineRule="auto"/>
        <w:rPr>
          <w:rFonts w:ascii="Cambria" w:hAnsi="Cambria" w:cs="Times New Roman"/>
          <w:color w:val="000000"/>
          <w:sz w:val="22"/>
          <w:szCs w:val="22"/>
          <w:lang w:val="en-US"/>
        </w:rPr>
      </w:pPr>
      <w:r w:rsidRPr="00C46EE7">
        <w:rPr>
          <w:rFonts w:ascii="Cambria" w:hAnsi="Cambria" w:cs="Times New Roman"/>
          <w:color w:val="000000"/>
          <w:sz w:val="22"/>
          <w:szCs w:val="22"/>
          <w:lang w:val="en-US"/>
        </w:rPr>
        <w:t>Applicat</w:t>
      </w:r>
      <w:r w:rsidR="00C46EE7">
        <w:rPr>
          <w:rFonts w:ascii="Cambria" w:hAnsi="Cambria" w:cs="Times New Roman"/>
          <w:color w:val="000000"/>
          <w:sz w:val="22"/>
          <w:szCs w:val="22"/>
          <w:lang w:val="en-US"/>
        </w:rPr>
        <w:t xml:space="preserve">ions must include a named collaborator from </w:t>
      </w:r>
      <w:r w:rsidRPr="00C46EE7">
        <w:rPr>
          <w:rFonts w:ascii="Cambria" w:hAnsi="Cambria" w:cs="Times New Roman"/>
          <w:color w:val="000000"/>
          <w:sz w:val="22"/>
          <w:szCs w:val="22"/>
          <w:lang w:val="en-US"/>
        </w:rPr>
        <w:t>the Medical Research Council</w:t>
      </w:r>
      <w:r w:rsidR="00C46EE7" w:rsidRPr="00C46EE7">
        <w:rPr>
          <w:rFonts w:ascii="Cambria" w:hAnsi="Cambria" w:cs="Times New Roman"/>
          <w:color w:val="000000"/>
          <w:sz w:val="22"/>
          <w:szCs w:val="22"/>
          <w:lang w:val="en-US"/>
        </w:rPr>
        <w:t xml:space="preserve"> (MRC) Trials Methodology Research Partnership</w:t>
      </w:r>
      <w:r w:rsidR="00C46EE7">
        <w:rPr>
          <w:rFonts w:ascii="Cambria" w:hAnsi="Cambria" w:cs="Times New Roman"/>
          <w:color w:val="000000"/>
          <w:sz w:val="22"/>
          <w:szCs w:val="22"/>
          <w:lang w:val="en-US"/>
        </w:rPr>
        <w:t xml:space="preserve">. </w:t>
      </w:r>
      <w:r w:rsidR="00C2041C">
        <w:rPr>
          <w:rFonts w:ascii="Cambria" w:hAnsi="Cambria" w:cs="Times New Roman"/>
          <w:color w:val="000000"/>
          <w:sz w:val="22"/>
          <w:szCs w:val="22"/>
          <w:lang w:val="en-US"/>
        </w:rPr>
        <w:t xml:space="preserve">A request for a collaborator can be made by forwarding an abstract (300 words) of proposed SWAT to the </w:t>
      </w:r>
      <w:r w:rsidR="00C2041C" w:rsidRPr="00C2041C">
        <w:rPr>
          <w:rFonts w:ascii="Cambria" w:hAnsi="Cambria" w:cs="Times New Roman"/>
          <w:color w:val="000000"/>
          <w:sz w:val="22"/>
          <w:szCs w:val="22"/>
          <w:lang w:val="en-US"/>
        </w:rPr>
        <w:t xml:space="preserve">HRB-Trials Methodology Research Network </w:t>
      </w:r>
      <w:r w:rsidR="00C2041C">
        <w:rPr>
          <w:rFonts w:ascii="Cambria" w:hAnsi="Cambria" w:cs="Times New Roman"/>
          <w:color w:val="000000"/>
          <w:sz w:val="22"/>
          <w:szCs w:val="22"/>
          <w:lang w:val="en-US"/>
        </w:rPr>
        <w:t xml:space="preserve">at </w:t>
      </w:r>
      <w:r w:rsidR="00C2041C" w:rsidRPr="00C2041C">
        <w:rPr>
          <w:rFonts w:ascii="Cambria" w:hAnsi="Cambria" w:cs="Times New Roman"/>
          <w:color w:val="000000"/>
          <w:sz w:val="22"/>
          <w:szCs w:val="22"/>
          <w:lang w:val="en-US"/>
        </w:rPr>
        <w:t>hrb-tmrn@nuigalway.ie</w:t>
      </w:r>
    </w:p>
    <w:p w14:paraId="272BE3F9" w14:textId="77777777" w:rsidR="00C46EE7" w:rsidRDefault="00C46EE7" w:rsidP="002E548A">
      <w:pPr>
        <w:autoSpaceDE w:val="0"/>
        <w:autoSpaceDN w:val="0"/>
        <w:adjustRightInd w:val="0"/>
        <w:spacing w:line="360" w:lineRule="auto"/>
        <w:rPr>
          <w:rFonts w:ascii="Cambria" w:hAnsi="Cambria" w:cs="Times New Roman"/>
          <w:b/>
          <w:color w:val="0070C0"/>
          <w:sz w:val="28"/>
          <w:szCs w:val="28"/>
          <w:lang w:val="en-US"/>
        </w:rPr>
      </w:pPr>
    </w:p>
    <w:p w14:paraId="30FFA38B" w14:textId="659884CF" w:rsidR="0035332F" w:rsidRPr="002E548A" w:rsidRDefault="0035332F" w:rsidP="002E548A">
      <w:pPr>
        <w:autoSpaceDE w:val="0"/>
        <w:autoSpaceDN w:val="0"/>
        <w:adjustRightInd w:val="0"/>
        <w:spacing w:line="360" w:lineRule="auto"/>
        <w:rPr>
          <w:rFonts w:ascii="Cambria" w:hAnsi="Cambria" w:cs="Times New Roman"/>
          <w:b/>
          <w:color w:val="0070C0"/>
          <w:sz w:val="28"/>
          <w:szCs w:val="28"/>
          <w:lang w:val="en-US"/>
        </w:rPr>
      </w:pPr>
      <w:r w:rsidRPr="002E548A">
        <w:rPr>
          <w:rFonts w:ascii="Cambria" w:hAnsi="Cambria" w:cs="Times New Roman"/>
          <w:b/>
          <w:color w:val="0070C0"/>
          <w:sz w:val="28"/>
          <w:szCs w:val="28"/>
          <w:lang w:val="en-US"/>
        </w:rPr>
        <w:t>Budget</w:t>
      </w:r>
    </w:p>
    <w:p w14:paraId="5675243D" w14:textId="3C7B6E6A" w:rsidR="0035332F" w:rsidRPr="002E548A" w:rsidRDefault="0035332F" w:rsidP="002E548A">
      <w:pPr>
        <w:spacing w:line="360" w:lineRule="auto"/>
        <w:rPr>
          <w:rFonts w:ascii="Cambria" w:hAnsi="Cambria"/>
          <w:sz w:val="22"/>
          <w:szCs w:val="22"/>
        </w:rPr>
      </w:pPr>
      <w:r w:rsidRPr="002E548A">
        <w:rPr>
          <w:rFonts w:ascii="Cambria" w:hAnsi="Cambria" w:cs="Times New Roman"/>
          <w:color w:val="000000"/>
          <w:sz w:val="22"/>
          <w:szCs w:val="22"/>
          <w:lang w:val="en-US"/>
        </w:rPr>
        <w:t xml:space="preserve">Allowable </w:t>
      </w:r>
      <w:r w:rsidRPr="002E548A">
        <w:rPr>
          <w:rFonts w:ascii="Cambria" w:hAnsi="Cambria"/>
          <w:sz w:val="22"/>
          <w:szCs w:val="22"/>
        </w:rPr>
        <w:t>costs include;</w:t>
      </w:r>
    </w:p>
    <w:p w14:paraId="7148B007" w14:textId="77777777" w:rsidR="0035332F" w:rsidRPr="002E548A" w:rsidRDefault="0035332F" w:rsidP="002E548A">
      <w:pPr>
        <w:autoSpaceDE w:val="0"/>
        <w:autoSpaceDN w:val="0"/>
        <w:adjustRightInd w:val="0"/>
        <w:spacing w:line="360" w:lineRule="auto"/>
        <w:rPr>
          <w:rFonts w:ascii="Cambria" w:hAnsi="Cambria" w:cs="Cambria"/>
          <w:color w:val="0070C0"/>
          <w:lang w:val="en-US"/>
        </w:rPr>
      </w:pPr>
      <w:r w:rsidRPr="002E548A">
        <w:rPr>
          <w:rFonts w:ascii="Cambria" w:hAnsi="Cambria" w:cs="Cambria"/>
          <w:color w:val="0070C0"/>
          <w:lang w:val="en-US"/>
        </w:rPr>
        <w:t xml:space="preserve">Salary (salary, PRSI, pension contribution) </w:t>
      </w:r>
    </w:p>
    <w:p w14:paraId="4BB96B90" w14:textId="628A49AD"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r w:rsidRPr="002E548A">
        <w:rPr>
          <w:rFonts w:ascii="Cambria" w:hAnsi="Cambria" w:cs="Calibri"/>
          <w:color w:val="000000"/>
          <w:sz w:val="22"/>
          <w:szCs w:val="22"/>
          <w:lang w:val="en-US"/>
        </w:rPr>
        <w:t>Applicants should use the IUA  website for the most up-to-date recommended salary scales for academic researchers  (</w:t>
      </w:r>
      <w:hyperlink r:id="rId6" w:history="1">
        <w:r w:rsidRPr="002E548A">
          <w:rPr>
            <w:rStyle w:val="Hyperlink"/>
            <w:rFonts w:ascii="Cambria" w:hAnsi="Cambria" w:cs="Calibri"/>
            <w:sz w:val="22"/>
            <w:szCs w:val="22"/>
            <w:lang w:val="en-US"/>
          </w:rPr>
          <w:t>http://www.iua.ie/research-innovation/researcher-salary-scales/</w:t>
        </w:r>
      </w:hyperlink>
      <w:r w:rsidRPr="002E548A">
        <w:rPr>
          <w:rFonts w:ascii="Cambria" w:hAnsi="Cambria" w:cs="Calibri"/>
          <w:color w:val="000000"/>
          <w:sz w:val="22"/>
          <w:szCs w:val="22"/>
          <w:lang w:val="en-US"/>
        </w:rPr>
        <w:t xml:space="preserve">). Please note </w:t>
      </w:r>
      <w:r w:rsidRPr="00733E30">
        <w:rPr>
          <w:rFonts w:ascii="Cambria" w:hAnsi="Cambria" w:cs="Calibri"/>
          <w:color w:val="000000"/>
          <w:sz w:val="22"/>
          <w:szCs w:val="22"/>
          <w:u w:val="single"/>
          <w:lang w:val="en-US"/>
        </w:rPr>
        <w:t>employee</w:t>
      </w:r>
      <w:r w:rsidRPr="002E548A">
        <w:rPr>
          <w:rFonts w:ascii="Cambria" w:hAnsi="Cambria" w:cs="Calibri"/>
          <w:color w:val="000000"/>
          <w:sz w:val="22"/>
          <w:szCs w:val="22"/>
          <w:lang w:val="en-US"/>
        </w:rPr>
        <w:t xml:space="preserve"> pension contribution of 5% has already been incorporated into the IUA gross salary figure. Please state the pay scale used and the level and point on the scale. This should be justified accordingly.</w:t>
      </w:r>
    </w:p>
    <w:p w14:paraId="6E39605D" w14:textId="2A32CCEB"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p>
    <w:p w14:paraId="6C32B4A8" w14:textId="77777777"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r w:rsidRPr="002E548A">
        <w:rPr>
          <w:rFonts w:ascii="Cambria" w:hAnsi="Cambria" w:cs="Calibri"/>
          <w:color w:val="000000"/>
          <w:sz w:val="22"/>
          <w:szCs w:val="22"/>
          <w:lang w:val="en-US"/>
        </w:rPr>
        <w:t>The HRB-TMRN does not provide funding for the salary or benefits of academic staff within research institutions who are already in receipt of salary or benefits. The HRB-TMRN does not provide salary or buy out time for collaborators.</w:t>
      </w:r>
    </w:p>
    <w:p w14:paraId="50E56183" w14:textId="77777777"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p>
    <w:p w14:paraId="79EC1408" w14:textId="6647A169"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r w:rsidRPr="002E548A">
        <w:rPr>
          <w:rFonts w:ascii="Cambria" w:hAnsi="Cambria" w:cs="Calibri"/>
          <w:color w:val="000000"/>
          <w:sz w:val="22"/>
          <w:szCs w:val="22"/>
          <w:lang w:val="en-US"/>
        </w:rPr>
        <w:t>Employer’s contributions to PRSI and/or national insurance at the appropriate rates (e.g. PRSI is calculated at 10.</w:t>
      </w:r>
      <w:r w:rsidR="00C46EE7">
        <w:rPr>
          <w:rFonts w:ascii="Cambria" w:hAnsi="Cambria" w:cs="Calibri"/>
          <w:color w:val="000000"/>
          <w:sz w:val="22"/>
          <w:szCs w:val="22"/>
          <w:lang w:val="en-US"/>
        </w:rPr>
        <w:t>8</w:t>
      </w:r>
      <w:r w:rsidRPr="002E548A">
        <w:rPr>
          <w:rFonts w:ascii="Cambria" w:hAnsi="Cambria" w:cs="Calibri"/>
          <w:color w:val="000000"/>
          <w:sz w:val="22"/>
          <w:szCs w:val="22"/>
          <w:lang w:val="en-US"/>
        </w:rPr>
        <w:t xml:space="preserve">5% of gross salary in </w:t>
      </w:r>
      <w:proofErr w:type="spellStart"/>
      <w:r w:rsidRPr="002E548A">
        <w:rPr>
          <w:rFonts w:ascii="Cambria" w:hAnsi="Cambria" w:cs="Calibri"/>
          <w:color w:val="000000"/>
          <w:sz w:val="22"/>
          <w:szCs w:val="22"/>
          <w:lang w:val="en-US"/>
        </w:rPr>
        <w:t>RoI</w:t>
      </w:r>
      <w:proofErr w:type="spellEnd"/>
      <w:r w:rsidRPr="002E548A">
        <w:rPr>
          <w:rFonts w:ascii="Cambria" w:hAnsi="Cambria" w:cs="Calibri"/>
          <w:color w:val="000000"/>
          <w:sz w:val="22"/>
          <w:szCs w:val="22"/>
          <w:lang w:val="en-US"/>
        </w:rPr>
        <w:t xml:space="preserve">). </w:t>
      </w:r>
    </w:p>
    <w:p w14:paraId="43C11D35" w14:textId="77777777" w:rsidR="002E548A" w:rsidRPr="002E548A" w:rsidRDefault="002E548A" w:rsidP="002E548A">
      <w:pPr>
        <w:autoSpaceDE w:val="0"/>
        <w:autoSpaceDN w:val="0"/>
        <w:adjustRightInd w:val="0"/>
        <w:spacing w:line="360" w:lineRule="auto"/>
        <w:rPr>
          <w:rFonts w:ascii="Cambria" w:hAnsi="Cambria" w:cs="Calibri"/>
          <w:color w:val="000000"/>
          <w:sz w:val="22"/>
          <w:szCs w:val="22"/>
          <w:lang w:val="en-US"/>
        </w:rPr>
      </w:pPr>
    </w:p>
    <w:p w14:paraId="7F401757" w14:textId="378EC7FD" w:rsidR="0035332F" w:rsidRDefault="0035332F" w:rsidP="002E548A">
      <w:pPr>
        <w:pStyle w:val="Default"/>
        <w:spacing w:line="360" w:lineRule="auto"/>
        <w:rPr>
          <w:rFonts w:ascii="Cambria" w:hAnsi="Cambria"/>
          <w:sz w:val="22"/>
          <w:szCs w:val="22"/>
        </w:rPr>
      </w:pPr>
      <w:r w:rsidRPr="002E548A">
        <w:rPr>
          <w:rFonts w:ascii="Cambria" w:hAnsi="Cambria"/>
          <w:sz w:val="22"/>
          <w:szCs w:val="22"/>
        </w:rPr>
        <w:t xml:space="preserve">Pension provision up to a maximum of 20% of gross salary will be paid to the host institution to enable compliance with the Employment Control Framework (an additional 5% employee contribution are part of the salary). The level of employer contribution should be in accordance with the model adopted by the host institution. </w:t>
      </w:r>
    </w:p>
    <w:p w14:paraId="7B9AFDAA" w14:textId="77777777" w:rsidR="002E548A" w:rsidRPr="002E548A" w:rsidRDefault="002E548A" w:rsidP="002E548A">
      <w:pPr>
        <w:pStyle w:val="Default"/>
        <w:spacing w:line="360" w:lineRule="auto"/>
        <w:rPr>
          <w:rFonts w:ascii="Cambria" w:hAnsi="Cambria"/>
          <w:sz w:val="22"/>
          <w:szCs w:val="22"/>
        </w:rPr>
      </w:pPr>
    </w:p>
    <w:p w14:paraId="58CC5419" w14:textId="77777777" w:rsidR="0035332F" w:rsidRPr="002E548A" w:rsidRDefault="0035332F" w:rsidP="002E548A">
      <w:pPr>
        <w:pStyle w:val="Default"/>
        <w:spacing w:line="360" w:lineRule="auto"/>
        <w:rPr>
          <w:rFonts w:ascii="Cambria" w:hAnsi="Cambria" w:cs="Cambria"/>
          <w:color w:val="0070C0"/>
        </w:rPr>
      </w:pPr>
      <w:r w:rsidRPr="002E548A">
        <w:rPr>
          <w:rFonts w:ascii="Cambria" w:hAnsi="Cambria" w:cs="Cambria"/>
          <w:color w:val="0070C0"/>
        </w:rPr>
        <w:t xml:space="preserve">Running costs </w:t>
      </w:r>
    </w:p>
    <w:p w14:paraId="33C0A7F0" w14:textId="04024AEA" w:rsidR="0035332F" w:rsidRDefault="0035332F" w:rsidP="002E548A">
      <w:pPr>
        <w:pStyle w:val="Default"/>
        <w:spacing w:line="360" w:lineRule="auto"/>
        <w:rPr>
          <w:rFonts w:ascii="Cambria" w:hAnsi="Cambria"/>
          <w:sz w:val="22"/>
          <w:szCs w:val="22"/>
        </w:rPr>
      </w:pPr>
      <w:r w:rsidRPr="002E548A">
        <w:rPr>
          <w:rFonts w:ascii="Cambria" w:hAnsi="Cambria"/>
          <w:sz w:val="22"/>
          <w:szCs w:val="22"/>
        </w:rPr>
        <w:t xml:space="preserve">For all costs required to carry out the activities. Access to necessary special facilities or services which are not available in the host academic institutions. Funding for small items of equipment can be included in this section. Standalone computers will </w:t>
      </w:r>
      <w:r w:rsidRPr="002E548A">
        <w:rPr>
          <w:rFonts w:ascii="Cambria" w:hAnsi="Cambria"/>
          <w:b/>
          <w:bCs/>
          <w:sz w:val="22"/>
          <w:szCs w:val="22"/>
        </w:rPr>
        <w:t xml:space="preserve">not </w:t>
      </w:r>
      <w:r w:rsidRPr="002E548A">
        <w:rPr>
          <w:rFonts w:ascii="Cambria" w:hAnsi="Cambria"/>
          <w:sz w:val="22"/>
          <w:szCs w:val="22"/>
        </w:rPr>
        <w:t xml:space="preserve">be funded. All costs must be inclusive of VAT, where applicable. </w:t>
      </w:r>
    </w:p>
    <w:p w14:paraId="670092B3" w14:textId="77777777" w:rsidR="002E548A" w:rsidRPr="002E548A" w:rsidRDefault="002E548A" w:rsidP="002E548A">
      <w:pPr>
        <w:pStyle w:val="Default"/>
        <w:spacing w:line="360" w:lineRule="auto"/>
        <w:rPr>
          <w:rFonts w:ascii="Cambria" w:hAnsi="Cambria"/>
          <w:sz w:val="22"/>
          <w:szCs w:val="22"/>
        </w:rPr>
      </w:pPr>
    </w:p>
    <w:p w14:paraId="00F76FBE" w14:textId="77777777" w:rsidR="0035332F" w:rsidRPr="002E548A" w:rsidRDefault="0035332F" w:rsidP="002E548A">
      <w:pPr>
        <w:pStyle w:val="Default"/>
        <w:spacing w:line="360" w:lineRule="auto"/>
        <w:rPr>
          <w:rFonts w:ascii="Cambria" w:hAnsi="Cambria" w:cs="Cambria"/>
          <w:color w:val="0070C0"/>
        </w:rPr>
      </w:pPr>
      <w:r w:rsidRPr="002E548A">
        <w:rPr>
          <w:rFonts w:ascii="Cambria" w:hAnsi="Cambria" w:cs="Cambria"/>
          <w:color w:val="0070C0"/>
        </w:rPr>
        <w:t xml:space="preserve">Dissemination and knowledge exchange costs </w:t>
      </w:r>
    </w:p>
    <w:p w14:paraId="2F867F6D" w14:textId="1C08D6DD" w:rsidR="0035332F" w:rsidRDefault="0035332F" w:rsidP="002E548A">
      <w:pPr>
        <w:pStyle w:val="Default"/>
        <w:spacing w:line="360" w:lineRule="auto"/>
        <w:rPr>
          <w:rFonts w:ascii="Cambria" w:hAnsi="Cambria"/>
          <w:sz w:val="22"/>
          <w:szCs w:val="22"/>
        </w:rPr>
      </w:pPr>
      <w:r w:rsidRPr="002E548A">
        <w:rPr>
          <w:rFonts w:ascii="Cambria" w:hAnsi="Cambria"/>
          <w:sz w:val="22"/>
          <w:szCs w:val="22"/>
        </w:rPr>
        <w:lastRenderedPageBreak/>
        <w:t xml:space="preserve">This covers costs associated with the Dissemination and Knowledge Exchange Plan – i.e. Seminar/conference attendance (provide details of name and location, where possible) and any other means of communicating outcomes or engaging with stakeholders. </w:t>
      </w:r>
    </w:p>
    <w:p w14:paraId="1A279D1A" w14:textId="77777777" w:rsidR="002E548A" w:rsidRPr="002E548A" w:rsidRDefault="002E548A" w:rsidP="002E548A">
      <w:pPr>
        <w:pStyle w:val="Default"/>
        <w:spacing w:line="360" w:lineRule="auto"/>
        <w:rPr>
          <w:rFonts w:ascii="Cambria" w:hAnsi="Cambria"/>
          <w:sz w:val="22"/>
          <w:szCs w:val="22"/>
        </w:rPr>
      </w:pPr>
    </w:p>
    <w:p w14:paraId="55D3434D" w14:textId="77777777" w:rsidR="0035332F" w:rsidRPr="002E548A" w:rsidRDefault="0035332F" w:rsidP="002E548A">
      <w:pPr>
        <w:pStyle w:val="Default"/>
        <w:spacing w:line="360" w:lineRule="auto"/>
        <w:rPr>
          <w:rFonts w:ascii="Cambria" w:hAnsi="Cambria" w:cs="Cambria"/>
          <w:color w:val="0070C0"/>
          <w:sz w:val="28"/>
          <w:szCs w:val="28"/>
        </w:rPr>
      </w:pPr>
      <w:r w:rsidRPr="002E548A">
        <w:rPr>
          <w:rFonts w:ascii="Cambria" w:hAnsi="Cambria" w:cs="Cambria"/>
          <w:b/>
          <w:bCs/>
          <w:color w:val="0070C0"/>
          <w:sz w:val="28"/>
          <w:szCs w:val="28"/>
        </w:rPr>
        <w:t xml:space="preserve">Deadline </w:t>
      </w:r>
    </w:p>
    <w:p w14:paraId="73B4B387" w14:textId="0466C599" w:rsidR="00FC348D" w:rsidRDefault="0035332F" w:rsidP="002E548A">
      <w:pPr>
        <w:spacing w:line="360" w:lineRule="auto"/>
        <w:rPr>
          <w:rFonts w:ascii="Cambria" w:hAnsi="Cambria"/>
          <w:sz w:val="22"/>
          <w:szCs w:val="22"/>
        </w:rPr>
      </w:pPr>
      <w:r w:rsidRPr="002E548A">
        <w:rPr>
          <w:rFonts w:ascii="Cambria" w:hAnsi="Cambria"/>
          <w:sz w:val="22"/>
          <w:szCs w:val="22"/>
        </w:rPr>
        <w:t xml:space="preserve">The deadline for submission of complete applications </w:t>
      </w:r>
      <w:r w:rsidR="00007277" w:rsidRPr="002E548A">
        <w:rPr>
          <w:rFonts w:ascii="Cambria" w:hAnsi="Cambria"/>
          <w:sz w:val="22"/>
          <w:szCs w:val="22"/>
        </w:rPr>
        <w:t>is</w:t>
      </w:r>
      <w:r w:rsidR="00007277">
        <w:rPr>
          <w:rFonts w:ascii="Cambria" w:hAnsi="Cambria"/>
          <w:sz w:val="22"/>
          <w:szCs w:val="22"/>
        </w:rPr>
        <w:t>:</w:t>
      </w:r>
    </w:p>
    <w:p w14:paraId="7343DEB4" w14:textId="1FB5C105" w:rsidR="00FC348D" w:rsidRPr="00007277" w:rsidRDefault="00A80CB9" w:rsidP="00007277">
      <w:pPr>
        <w:spacing w:line="360" w:lineRule="auto"/>
        <w:jc w:val="center"/>
        <w:rPr>
          <w:rFonts w:ascii="Cambria" w:hAnsi="Cambria"/>
          <w:b/>
          <w:sz w:val="22"/>
          <w:szCs w:val="22"/>
        </w:rPr>
      </w:pPr>
      <w:r w:rsidRPr="00007277">
        <w:rPr>
          <w:rFonts w:ascii="Cambria" w:hAnsi="Cambria"/>
          <w:b/>
          <w:sz w:val="22"/>
          <w:szCs w:val="22"/>
        </w:rPr>
        <w:t>8</w:t>
      </w:r>
      <w:proofErr w:type="gramStart"/>
      <w:r w:rsidRPr="00007277">
        <w:rPr>
          <w:rFonts w:ascii="Cambria" w:hAnsi="Cambria"/>
          <w:b/>
          <w:sz w:val="22"/>
          <w:szCs w:val="22"/>
          <w:vertAlign w:val="superscript"/>
        </w:rPr>
        <w:t>th</w:t>
      </w:r>
      <w:r w:rsidRPr="00007277">
        <w:rPr>
          <w:rFonts w:ascii="Cambria" w:hAnsi="Cambria"/>
          <w:b/>
          <w:sz w:val="22"/>
          <w:szCs w:val="22"/>
        </w:rPr>
        <w:t xml:space="preserve"> </w:t>
      </w:r>
      <w:r w:rsidRPr="00007277">
        <w:rPr>
          <w:rFonts w:ascii="Cambria" w:hAnsi="Cambria"/>
          <w:b/>
          <w:sz w:val="14"/>
          <w:szCs w:val="14"/>
        </w:rPr>
        <w:t xml:space="preserve"> </w:t>
      </w:r>
      <w:r w:rsidR="0035332F" w:rsidRPr="00007277">
        <w:rPr>
          <w:rFonts w:ascii="Cambria" w:hAnsi="Cambria"/>
          <w:b/>
          <w:sz w:val="22"/>
          <w:szCs w:val="22"/>
        </w:rPr>
        <w:t>March</w:t>
      </w:r>
      <w:proofErr w:type="gramEnd"/>
      <w:r w:rsidR="0035332F" w:rsidRPr="00007277">
        <w:rPr>
          <w:rFonts w:ascii="Cambria" w:hAnsi="Cambria"/>
          <w:b/>
          <w:sz w:val="22"/>
          <w:szCs w:val="22"/>
        </w:rPr>
        <w:t xml:space="preserve"> 2018 at 1pm.</w:t>
      </w:r>
    </w:p>
    <w:p w14:paraId="33373988" w14:textId="77777777" w:rsidR="00FC348D" w:rsidRDefault="00FC348D" w:rsidP="002E548A">
      <w:pPr>
        <w:spacing w:line="360" w:lineRule="auto"/>
        <w:rPr>
          <w:rFonts w:ascii="Cambria" w:hAnsi="Cambria"/>
          <w:sz w:val="22"/>
          <w:szCs w:val="22"/>
        </w:rPr>
      </w:pPr>
    </w:p>
    <w:p w14:paraId="2110A815" w14:textId="5DABD5FA" w:rsidR="00FC348D" w:rsidRDefault="0035332F" w:rsidP="002E548A">
      <w:pPr>
        <w:spacing w:line="360" w:lineRule="auto"/>
        <w:rPr>
          <w:rFonts w:ascii="Cambria" w:hAnsi="Cambria"/>
          <w:sz w:val="22"/>
          <w:szCs w:val="22"/>
        </w:rPr>
      </w:pPr>
      <w:r w:rsidRPr="002E548A">
        <w:rPr>
          <w:rFonts w:ascii="Cambria" w:hAnsi="Cambria"/>
          <w:sz w:val="22"/>
          <w:szCs w:val="22"/>
        </w:rPr>
        <w:t xml:space="preserve">Queries relating to this application can be sent at </w:t>
      </w:r>
      <w:hyperlink r:id="rId7" w:history="1">
        <w:r w:rsidR="00FC348D" w:rsidRPr="009E4A60">
          <w:rPr>
            <w:rStyle w:val="Hyperlink"/>
            <w:rFonts w:ascii="Cambria" w:hAnsi="Cambria"/>
            <w:sz w:val="22"/>
            <w:szCs w:val="22"/>
          </w:rPr>
          <w:t>hrb-tmrn@nuigalway.ie</w:t>
        </w:r>
      </w:hyperlink>
    </w:p>
    <w:p w14:paraId="47504AE1" w14:textId="77777777" w:rsidR="00FC348D" w:rsidRDefault="00FC348D" w:rsidP="002E548A">
      <w:pPr>
        <w:spacing w:line="360" w:lineRule="auto"/>
        <w:rPr>
          <w:rFonts w:ascii="Cambria" w:hAnsi="Cambria"/>
          <w:sz w:val="22"/>
          <w:szCs w:val="22"/>
        </w:rPr>
      </w:pPr>
      <w:bookmarkStart w:id="0" w:name="_GoBack"/>
      <w:bookmarkEnd w:id="0"/>
    </w:p>
    <w:p w14:paraId="0432705A" w14:textId="1ABAB04A" w:rsidR="0035332F" w:rsidRPr="002E548A" w:rsidRDefault="0035332F" w:rsidP="002E548A">
      <w:pPr>
        <w:spacing w:line="360" w:lineRule="auto"/>
        <w:rPr>
          <w:rFonts w:ascii="Cambria" w:hAnsi="Cambria"/>
          <w:sz w:val="22"/>
          <w:szCs w:val="22"/>
        </w:rPr>
      </w:pPr>
      <w:r w:rsidRPr="002E548A">
        <w:rPr>
          <w:rFonts w:ascii="Cambria" w:hAnsi="Cambria"/>
          <w:sz w:val="22"/>
          <w:szCs w:val="22"/>
        </w:rPr>
        <w:t xml:space="preserve">All application forms must be submitted as a PDF by email, along with relevant documentation to hrb-tmrn@nuigalway.ie by the deadline with </w:t>
      </w:r>
      <w:r w:rsidR="00FC348D">
        <w:rPr>
          <w:rFonts w:ascii="Cambria" w:hAnsi="Cambria"/>
          <w:sz w:val="22"/>
          <w:szCs w:val="22"/>
        </w:rPr>
        <w:t>‘</w:t>
      </w:r>
      <w:r w:rsidRPr="002E548A">
        <w:rPr>
          <w:rFonts w:ascii="Cambria" w:hAnsi="Cambria"/>
          <w:b/>
          <w:bCs/>
          <w:sz w:val="22"/>
          <w:szCs w:val="22"/>
        </w:rPr>
        <w:t>SWAT AWARD</w:t>
      </w:r>
      <w:r w:rsidR="00FC348D">
        <w:rPr>
          <w:rFonts w:ascii="Cambria" w:hAnsi="Cambria"/>
          <w:b/>
          <w:bCs/>
          <w:sz w:val="22"/>
          <w:szCs w:val="22"/>
        </w:rPr>
        <w:t>’</w:t>
      </w:r>
      <w:r w:rsidRPr="002E548A">
        <w:rPr>
          <w:rFonts w:ascii="Cambria" w:hAnsi="Cambria"/>
          <w:b/>
          <w:bCs/>
          <w:sz w:val="22"/>
          <w:szCs w:val="22"/>
        </w:rPr>
        <w:t xml:space="preserve"> </w:t>
      </w:r>
      <w:r w:rsidRPr="002E548A">
        <w:rPr>
          <w:rFonts w:ascii="Cambria" w:hAnsi="Cambria"/>
          <w:sz w:val="22"/>
          <w:szCs w:val="22"/>
        </w:rPr>
        <w:t>in the subject line.</w:t>
      </w:r>
    </w:p>
    <w:p w14:paraId="063A9DDB" w14:textId="11C69681" w:rsidR="0035332F" w:rsidRPr="002E548A" w:rsidRDefault="0035332F" w:rsidP="002E548A">
      <w:pPr>
        <w:spacing w:line="360" w:lineRule="auto"/>
        <w:rPr>
          <w:rFonts w:ascii="Cambria" w:hAnsi="Cambria"/>
          <w:color w:val="0070C0"/>
          <w:sz w:val="22"/>
          <w:szCs w:val="22"/>
        </w:rPr>
      </w:pPr>
    </w:p>
    <w:p w14:paraId="1132F3BF" w14:textId="77777777" w:rsidR="0035332F" w:rsidRPr="002E548A" w:rsidRDefault="0035332F" w:rsidP="002E548A">
      <w:pPr>
        <w:autoSpaceDE w:val="0"/>
        <w:autoSpaceDN w:val="0"/>
        <w:adjustRightInd w:val="0"/>
        <w:spacing w:line="360" w:lineRule="auto"/>
        <w:rPr>
          <w:rFonts w:ascii="Cambria" w:hAnsi="Cambria" w:cs="Cambria"/>
          <w:color w:val="0070C0"/>
          <w:sz w:val="28"/>
          <w:szCs w:val="28"/>
          <w:lang w:val="en-US"/>
        </w:rPr>
      </w:pPr>
      <w:r w:rsidRPr="002E548A">
        <w:rPr>
          <w:rFonts w:ascii="Cambria" w:hAnsi="Cambria" w:cs="Cambria"/>
          <w:b/>
          <w:bCs/>
          <w:color w:val="0070C0"/>
          <w:sz w:val="28"/>
          <w:szCs w:val="28"/>
          <w:lang w:val="en-US"/>
        </w:rPr>
        <w:t xml:space="preserve">Peer Review Process </w:t>
      </w:r>
    </w:p>
    <w:p w14:paraId="0A889255" w14:textId="0EA76BA6" w:rsidR="0035332F" w:rsidRPr="002E548A" w:rsidRDefault="0035332F" w:rsidP="002E548A">
      <w:pPr>
        <w:spacing w:line="360" w:lineRule="auto"/>
        <w:rPr>
          <w:rFonts w:ascii="Cambria" w:hAnsi="Cambria"/>
        </w:rPr>
      </w:pPr>
      <w:r w:rsidRPr="002E548A">
        <w:rPr>
          <w:rFonts w:ascii="Cambria" w:hAnsi="Cambria" w:cs="Calibri"/>
          <w:color w:val="000000"/>
          <w:sz w:val="22"/>
          <w:szCs w:val="22"/>
          <w:lang w:val="en-US"/>
        </w:rPr>
        <w:t xml:space="preserve">Applications will be subject to external peer review. Successful applicants will be notified by </w:t>
      </w:r>
      <w:r w:rsidR="00F81335">
        <w:rPr>
          <w:rFonts w:ascii="Cambria" w:hAnsi="Cambria" w:cs="Calibri"/>
          <w:color w:val="000000"/>
          <w:sz w:val="22"/>
          <w:szCs w:val="22"/>
          <w:lang w:val="en-US"/>
        </w:rPr>
        <w:t>Monday 15</w:t>
      </w:r>
      <w:r w:rsidR="00F81335" w:rsidRPr="00007277">
        <w:rPr>
          <w:rFonts w:ascii="Cambria" w:hAnsi="Cambria" w:cs="Calibri"/>
          <w:color w:val="000000"/>
          <w:sz w:val="22"/>
          <w:szCs w:val="22"/>
          <w:vertAlign w:val="superscript"/>
          <w:lang w:val="en-US"/>
        </w:rPr>
        <w:t>th</w:t>
      </w:r>
      <w:r w:rsidR="00F81335">
        <w:rPr>
          <w:rFonts w:ascii="Cambria" w:hAnsi="Cambria" w:cs="Calibri"/>
          <w:color w:val="000000"/>
          <w:sz w:val="22"/>
          <w:szCs w:val="22"/>
          <w:lang w:val="en-US"/>
        </w:rPr>
        <w:t xml:space="preserve"> </w:t>
      </w:r>
      <w:proofErr w:type="gramStart"/>
      <w:r w:rsidR="00F81335">
        <w:rPr>
          <w:rFonts w:ascii="Cambria" w:hAnsi="Cambria" w:cs="Calibri"/>
          <w:color w:val="000000"/>
          <w:sz w:val="22"/>
          <w:szCs w:val="22"/>
          <w:lang w:val="en-US"/>
        </w:rPr>
        <w:t>April</w:t>
      </w:r>
      <w:r w:rsidRPr="002E548A">
        <w:rPr>
          <w:rFonts w:ascii="Cambria" w:hAnsi="Cambria" w:cs="Calibri"/>
          <w:color w:val="000000"/>
          <w:sz w:val="22"/>
          <w:szCs w:val="22"/>
          <w:lang w:val="en-US"/>
        </w:rPr>
        <w:t xml:space="preserve"> .</w:t>
      </w:r>
      <w:proofErr w:type="gramEnd"/>
    </w:p>
    <w:sectPr w:rsidR="0035332F" w:rsidRPr="002E548A" w:rsidSect="007E54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0311B"/>
    <w:multiLevelType w:val="hybridMultilevel"/>
    <w:tmpl w:val="288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2F"/>
    <w:rsid w:val="00007277"/>
    <w:rsid w:val="000A3A7F"/>
    <w:rsid w:val="000F2E7A"/>
    <w:rsid w:val="001561D8"/>
    <w:rsid w:val="001E7C44"/>
    <w:rsid w:val="00211E34"/>
    <w:rsid w:val="00282F29"/>
    <w:rsid w:val="002E548A"/>
    <w:rsid w:val="00302079"/>
    <w:rsid w:val="0035332F"/>
    <w:rsid w:val="003F2AD9"/>
    <w:rsid w:val="004565F5"/>
    <w:rsid w:val="004B2698"/>
    <w:rsid w:val="006D48AA"/>
    <w:rsid w:val="00733E30"/>
    <w:rsid w:val="007566ED"/>
    <w:rsid w:val="007E54F7"/>
    <w:rsid w:val="00A80CB9"/>
    <w:rsid w:val="00C2041C"/>
    <w:rsid w:val="00C46EE7"/>
    <w:rsid w:val="00C62E1D"/>
    <w:rsid w:val="00CC404C"/>
    <w:rsid w:val="00DF3E30"/>
    <w:rsid w:val="00E544E3"/>
    <w:rsid w:val="00F81335"/>
    <w:rsid w:val="00FC3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7E46"/>
  <w15:chartTrackingRefBased/>
  <w15:docId w15:val="{463A1597-D6C3-6147-9998-FB2FA4CC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32F"/>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4565F5"/>
    <w:pPr>
      <w:ind w:left="720"/>
      <w:contextualSpacing/>
    </w:pPr>
  </w:style>
  <w:style w:type="character" w:styleId="Hyperlink">
    <w:name w:val="Hyperlink"/>
    <w:basedOn w:val="DefaultParagraphFont"/>
    <w:uiPriority w:val="99"/>
    <w:unhideWhenUsed/>
    <w:rsid w:val="002E548A"/>
    <w:rPr>
      <w:color w:val="0563C1" w:themeColor="hyperlink"/>
      <w:u w:val="single"/>
    </w:rPr>
  </w:style>
  <w:style w:type="character" w:styleId="UnresolvedMention">
    <w:name w:val="Unresolved Mention"/>
    <w:basedOn w:val="DefaultParagraphFont"/>
    <w:uiPriority w:val="99"/>
    <w:semiHidden/>
    <w:unhideWhenUsed/>
    <w:rsid w:val="002E548A"/>
    <w:rPr>
      <w:color w:val="605E5C"/>
      <w:shd w:val="clear" w:color="auto" w:fill="E1DFDD"/>
    </w:rPr>
  </w:style>
  <w:style w:type="character" w:styleId="CommentReference">
    <w:name w:val="annotation reference"/>
    <w:basedOn w:val="DefaultParagraphFont"/>
    <w:uiPriority w:val="99"/>
    <w:semiHidden/>
    <w:unhideWhenUsed/>
    <w:rsid w:val="00A80CB9"/>
    <w:rPr>
      <w:sz w:val="16"/>
      <w:szCs w:val="16"/>
    </w:rPr>
  </w:style>
  <w:style w:type="paragraph" w:styleId="CommentText">
    <w:name w:val="annotation text"/>
    <w:basedOn w:val="Normal"/>
    <w:link w:val="CommentTextChar"/>
    <w:uiPriority w:val="99"/>
    <w:semiHidden/>
    <w:unhideWhenUsed/>
    <w:rsid w:val="00A80CB9"/>
    <w:rPr>
      <w:sz w:val="20"/>
      <w:szCs w:val="20"/>
    </w:rPr>
  </w:style>
  <w:style w:type="character" w:customStyle="1" w:styleId="CommentTextChar">
    <w:name w:val="Comment Text Char"/>
    <w:basedOn w:val="DefaultParagraphFont"/>
    <w:link w:val="CommentText"/>
    <w:uiPriority w:val="99"/>
    <w:semiHidden/>
    <w:rsid w:val="00A80CB9"/>
    <w:rPr>
      <w:sz w:val="20"/>
      <w:szCs w:val="20"/>
      <w:lang w:val="en-GB"/>
    </w:rPr>
  </w:style>
  <w:style w:type="paragraph" w:styleId="CommentSubject">
    <w:name w:val="annotation subject"/>
    <w:basedOn w:val="CommentText"/>
    <w:next w:val="CommentText"/>
    <w:link w:val="CommentSubjectChar"/>
    <w:uiPriority w:val="99"/>
    <w:semiHidden/>
    <w:unhideWhenUsed/>
    <w:rsid w:val="00A80CB9"/>
    <w:rPr>
      <w:b/>
      <w:bCs/>
    </w:rPr>
  </w:style>
  <w:style w:type="character" w:customStyle="1" w:styleId="CommentSubjectChar">
    <w:name w:val="Comment Subject Char"/>
    <w:basedOn w:val="CommentTextChar"/>
    <w:link w:val="CommentSubject"/>
    <w:uiPriority w:val="99"/>
    <w:semiHidden/>
    <w:rsid w:val="00A80CB9"/>
    <w:rPr>
      <w:b/>
      <w:bCs/>
      <w:sz w:val="20"/>
      <w:szCs w:val="20"/>
      <w:lang w:val="en-GB"/>
    </w:rPr>
  </w:style>
  <w:style w:type="paragraph" w:styleId="BalloonText">
    <w:name w:val="Balloon Text"/>
    <w:basedOn w:val="Normal"/>
    <w:link w:val="BalloonTextChar"/>
    <w:uiPriority w:val="99"/>
    <w:semiHidden/>
    <w:unhideWhenUsed/>
    <w:rsid w:val="00A80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CB9"/>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39059">
      <w:bodyDiv w:val="1"/>
      <w:marLeft w:val="0"/>
      <w:marRight w:val="0"/>
      <w:marTop w:val="0"/>
      <w:marBottom w:val="0"/>
      <w:divBdr>
        <w:top w:val="none" w:sz="0" w:space="0" w:color="auto"/>
        <w:left w:val="none" w:sz="0" w:space="0" w:color="auto"/>
        <w:bottom w:val="none" w:sz="0" w:space="0" w:color="auto"/>
        <w:right w:val="none" w:sz="0" w:space="0" w:color="auto"/>
      </w:divBdr>
      <w:divsChild>
        <w:div w:id="1596090636">
          <w:marLeft w:val="0"/>
          <w:marRight w:val="0"/>
          <w:marTop w:val="0"/>
          <w:marBottom w:val="0"/>
          <w:divBdr>
            <w:top w:val="none" w:sz="0" w:space="0" w:color="auto"/>
            <w:left w:val="none" w:sz="0" w:space="0" w:color="auto"/>
            <w:bottom w:val="none" w:sz="0" w:space="0" w:color="auto"/>
            <w:right w:val="none" w:sz="0" w:space="0" w:color="auto"/>
          </w:divBdr>
          <w:divsChild>
            <w:div w:id="687415801">
              <w:marLeft w:val="0"/>
              <w:marRight w:val="0"/>
              <w:marTop w:val="0"/>
              <w:marBottom w:val="0"/>
              <w:divBdr>
                <w:top w:val="none" w:sz="0" w:space="0" w:color="auto"/>
                <w:left w:val="none" w:sz="0" w:space="0" w:color="auto"/>
                <w:bottom w:val="none" w:sz="0" w:space="0" w:color="auto"/>
                <w:right w:val="none" w:sz="0" w:space="0" w:color="auto"/>
              </w:divBdr>
              <w:divsChild>
                <w:div w:id="15654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tmrn@nuigalwa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a.ie/research-innovation/researcher-salary-scales/" TargetMode="External"/><Relationship Id="rId5" Type="http://schemas.openxmlformats.org/officeDocument/2006/relationships/hyperlink" Target="https://trialsjournal.biomedcentral.com/articles/10.1186/s13063-018-253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Thomas</dc:creator>
  <cp:keywords/>
  <dc:description/>
  <cp:lastModifiedBy>Conway, Thomas</cp:lastModifiedBy>
  <cp:revision>7</cp:revision>
  <dcterms:created xsi:type="dcterms:W3CDTF">2018-11-26T12:40:00Z</dcterms:created>
  <dcterms:modified xsi:type="dcterms:W3CDTF">2018-12-02T17:37:00Z</dcterms:modified>
</cp:coreProperties>
</file>